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185AD" w14:textId="77777777" w:rsidR="001538EF" w:rsidRPr="001538EF" w:rsidRDefault="001538EF" w:rsidP="001538EF">
      <w:r w:rsidRPr="001538EF">
        <w:t xml:space="preserve">     </w:t>
      </w:r>
    </w:p>
    <w:p w14:paraId="26D20315" w14:textId="77777777" w:rsidR="001538EF" w:rsidRPr="001538EF" w:rsidRDefault="001538EF" w:rsidP="001538EF">
      <w:pPr>
        <w:jc w:val="center"/>
      </w:pPr>
      <w:r w:rsidRPr="001538EF">
        <w:rPr>
          <w:noProof/>
          <w:lang w:val="en-US" w:eastAsia="en-US"/>
        </w:rPr>
        <w:drawing>
          <wp:inline distT="0" distB="0" distL="0" distR="0" wp14:anchorId="4F71B2B3" wp14:editId="57E1531E">
            <wp:extent cx="2661584" cy="1337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ajax.png"/>
                    <pic:cNvPicPr/>
                  </pic:nvPicPr>
                  <pic:blipFill>
                    <a:blip r:embed="rId8">
                      <a:extLst>
                        <a:ext uri="{28A0092B-C50C-407E-A947-70E740481C1C}">
                          <a14:useLocalDpi xmlns:a14="http://schemas.microsoft.com/office/drawing/2010/main" val="0"/>
                        </a:ext>
                      </a:extLst>
                    </a:blip>
                    <a:stretch>
                      <a:fillRect/>
                    </a:stretch>
                  </pic:blipFill>
                  <pic:spPr>
                    <a:xfrm>
                      <a:off x="0" y="0"/>
                      <a:ext cx="2664663" cy="1339027"/>
                    </a:xfrm>
                    <a:prstGeom prst="rect">
                      <a:avLst/>
                    </a:prstGeom>
                  </pic:spPr>
                </pic:pic>
              </a:graphicData>
            </a:graphic>
          </wp:inline>
        </w:drawing>
      </w:r>
    </w:p>
    <w:p w14:paraId="61CD102C" w14:textId="77777777" w:rsidR="001538EF" w:rsidRPr="001538EF" w:rsidRDefault="001538EF" w:rsidP="001538EF"/>
    <w:p w14:paraId="12F25622" w14:textId="77777777" w:rsidR="001538EF" w:rsidRPr="001538EF" w:rsidRDefault="001538EF" w:rsidP="001538EF">
      <w:pPr>
        <w:rPr>
          <w:lang w:val="sr-Cyrl-BA"/>
        </w:rPr>
      </w:pP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t xml:space="preserve"> </w:t>
      </w:r>
    </w:p>
    <w:p w14:paraId="75DF0A46" w14:textId="77777777" w:rsidR="001538EF" w:rsidRPr="001538EF" w:rsidRDefault="001538EF" w:rsidP="001538EF">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p>
    <w:p w14:paraId="089A1AEA" w14:textId="77777777" w:rsidR="001538EF" w:rsidRPr="001538EF" w:rsidRDefault="001538EF" w:rsidP="001538EF">
      <w:pPr>
        <w:rPr>
          <w:lang w:val="sr-Cyrl-BA"/>
        </w:rPr>
      </w:pPr>
    </w:p>
    <w:p w14:paraId="1B0743AC" w14:textId="77777777" w:rsidR="001538EF" w:rsidRPr="005767EF" w:rsidRDefault="001538EF" w:rsidP="001538EF">
      <w:pPr>
        <w:jc w:val="left"/>
        <w:rPr>
          <w:rFonts w:asciiTheme="minorHAnsi" w:hAnsiTheme="minorHAnsi"/>
          <w:sz w:val="20"/>
          <w:szCs w:val="20"/>
          <w:lang w:val="sr-Cyrl-BA"/>
        </w:rPr>
      </w:pPr>
    </w:p>
    <w:p w14:paraId="00BBEDF6" w14:textId="77777777" w:rsidR="001538EF" w:rsidRPr="005767EF" w:rsidRDefault="001538EF" w:rsidP="001538EF">
      <w:pPr>
        <w:jc w:val="right"/>
        <w:rPr>
          <w:rFonts w:asciiTheme="minorHAnsi" w:hAnsiTheme="minorHAnsi"/>
          <w:sz w:val="20"/>
          <w:szCs w:val="20"/>
          <w:lang w:val="sr-Cyrl-BA"/>
        </w:rPr>
      </w:pPr>
    </w:p>
    <w:p w14:paraId="44A4ACFD" w14:textId="77777777" w:rsidR="001538EF" w:rsidRPr="005767EF" w:rsidRDefault="001538EF" w:rsidP="001538EF">
      <w:pPr>
        <w:rPr>
          <w:rFonts w:asciiTheme="minorHAnsi" w:hAnsiTheme="minorHAnsi"/>
          <w:sz w:val="20"/>
          <w:szCs w:val="20"/>
        </w:rPr>
      </w:pPr>
    </w:p>
    <w:p w14:paraId="7C8D4FB5" w14:textId="77777777" w:rsidR="001538EF" w:rsidRPr="005767EF" w:rsidRDefault="001538EF" w:rsidP="001538EF">
      <w:pPr>
        <w:rPr>
          <w:rFonts w:asciiTheme="minorHAnsi" w:hAnsiTheme="minorHAnsi"/>
          <w:sz w:val="20"/>
          <w:szCs w:val="20"/>
        </w:rPr>
      </w:pPr>
    </w:p>
    <w:p w14:paraId="5437CA57" w14:textId="77777777" w:rsidR="001538EF" w:rsidRPr="005767EF" w:rsidRDefault="001538EF" w:rsidP="001538EF">
      <w:pPr>
        <w:rPr>
          <w:rFonts w:asciiTheme="minorHAnsi" w:hAnsiTheme="minorHAnsi"/>
          <w:sz w:val="20"/>
          <w:szCs w:val="20"/>
        </w:rPr>
      </w:pPr>
    </w:p>
    <w:p w14:paraId="7B5A418C" w14:textId="77777777" w:rsidR="001538EF" w:rsidRPr="005767EF" w:rsidRDefault="001538EF" w:rsidP="001538EF">
      <w:pPr>
        <w:rPr>
          <w:rFonts w:asciiTheme="minorHAnsi" w:hAnsiTheme="minorHAnsi"/>
          <w:sz w:val="20"/>
          <w:szCs w:val="20"/>
        </w:rPr>
      </w:pPr>
    </w:p>
    <w:p w14:paraId="50917ECF" w14:textId="77777777" w:rsidR="001538EF" w:rsidRPr="005767EF" w:rsidRDefault="001538EF" w:rsidP="001538EF">
      <w:pPr>
        <w:rPr>
          <w:rFonts w:asciiTheme="minorHAnsi" w:hAnsiTheme="minorHAnsi"/>
          <w:sz w:val="20"/>
          <w:szCs w:val="20"/>
        </w:rPr>
      </w:pPr>
    </w:p>
    <w:p w14:paraId="78BABB37" w14:textId="77777777" w:rsidR="001538EF" w:rsidRPr="005767EF" w:rsidRDefault="001538EF" w:rsidP="001538EF">
      <w:pPr>
        <w:rPr>
          <w:rFonts w:asciiTheme="minorHAnsi" w:hAnsiTheme="minorHAnsi"/>
          <w:sz w:val="20"/>
          <w:szCs w:val="20"/>
        </w:rPr>
      </w:pPr>
    </w:p>
    <w:p w14:paraId="2EAD1C07" w14:textId="77777777" w:rsidR="001538EF" w:rsidRPr="00D368D4" w:rsidRDefault="001538EF" w:rsidP="001538EF">
      <w:pPr>
        <w:rPr>
          <w:rFonts w:asciiTheme="minorHAnsi" w:hAnsiTheme="minorHAnsi"/>
          <w:sz w:val="28"/>
          <w:szCs w:val="28"/>
        </w:rPr>
      </w:pPr>
    </w:p>
    <w:p w14:paraId="4218F383" w14:textId="77777777" w:rsidR="001538EF" w:rsidRPr="00D368D4" w:rsidRDefault="001538EF" w:rsidP="001538EF">
      <w:pPr>
        <w:jc w:val="center"/>
        <w:rPr>
          <w:rFonts w:asciiTheme="minorHAnsi" w:hAnsiTheme="minorHAnsi"/>
          <w:b/>
          <w:spacing w:val="60"/>
          <w:sz w:val="28"/>
          <w:szCs w:val="28"/>
        </w:rPr>
      </w:pPr>
      <w:r w:rsidRPr="00D368D4">
        <w:rPr>
          <w:rFonts w:asciiTheme="minorHAnsi" w:hAnsiTheme="minorHAnsi"/>
          <w:b/>
          <w:spacing w:val="60"/>
          <w:sz w:val="28"/>
          <w:szCs w:val="28"/>
          <w:lang w:val="sr-Cyrl-BA"/>
        </w:rPr>
        <w:t>ИЗВЈЕШТАЈ</w:t>
      </w:r>
    </w:p>
    <w:p w14:paraId="5242C08E" w14:textId="77777777" w:rsidR="001538EF" w:rsidRPr="00D368D4" w:rsidRDefault="001538EF" w:rsidP="001538EF">
      <w:pPr>
        <w:jc w:val="center"/>
        <w:rPr>
          <w:rFonts w:asciiTheme="minorHAnsi" w:hAnsiTheme="minorHAnsi"/>
          <w:b/>
          <w:spacing w:val="60"/>
          <w:sz w:val="28"/>
          <w:szCs w:val="28"/>
          <w:lang w:val="sr-Cyrl-BA"/>
        </w:rPr>
      </w:pPr>
      <w:r w:rsidRPr="00D368D4">
        <w:rPr>
          <w:rFonts w:asciiTheme="minorHAnsi" w:hAnsiTheme="minorHAnsi"/>
          <w:b/>
          <w:spacing w:val="60"/>
          <w:sz w:val="28"/>
          <w:szCs w:val="28"/>
          <w:lang w:val="sr-Cyrl-BA"/>
        </w:rPr>
        <w:t xml:space="preserve"> </w:t>
      </w:r>
      <w:r w:rsidR="00D368D4">
        <w:rPr>
          <w:rFonts w:asciiTheme="minorHAnsi" w:hAnsiTheme="minorHAnsi"/>
          <w:b/>
          <w:spacing w:val="60"/>
          <w:sz w:val="28"/>
          <w:szCs w:val="28"/>
          <w:lang w:val="sr-Cyrl-BA"/>
        </w:rPr>
        <w:t>О РАДУ И ПОСЛОВАЊУ</w:t>
      </w:r>
    </w:p>
    <w:p w14:paraId="65E1EADD" w14:textId="77777777" w:rsidR="001538EF" w:rsidRPr="00D368D4" w:rsidRDefault="001538EF" w:rsidP="001538EF">
      <w:pPr>
        <w:jc w:val="center"/>
        <w:rPr>
          <w:rFonts w:asciiTheme="minorHAnsi" w:hAnsiTheme="minorHAnsi"/>
          <w:b/>
          <w:sz w:val="28"/>
          <w:szCs w:val="28"/>
          <w:lang w:val="sr-Cyrl-RS"/>
        </w:rPr>
      </w:pPr>
      <w:r w:rsidRPr="00D368D4">
        <w:rPr>
          <w:rFonts w:asciiTheme="minorHAnsi" w:hAnsiTheme="minorHAnsi"/>
          <w:b/>
          <w:sz w:val="28"/>
          <w:szCs w:val="28"/>
        </w:rPr>
        <w:t>ГАРАНТНОГ ФОНДА РЕПУБЛИКЕ СРПСКЕ А</w:t>
      </w:r>
      <w:r w:rsidR="00EA08D5" w:rsidRPr="00D368D4">
        <w:rPr>
          <w:rFonts w:asciiTheme="minorHAnsi" w:hAnsiTheme="minorHAnsi"/>
          <w:b/>
          <w:sz w:val="28"/>
          <w:szCs w:val="28"/>
          <w:lang w:val="sr-Cyrl-RS"/>
        </w:rPr>
        <w:t>.</w:t>
      </w:r>
      <w:r w:rsidRPr="00D368D4">
        <w:rPr>
          <w:rFonts w:asciiTheme="minorHAnsi" w:hAnsiTheme="minorHAnsi"/>
          <w:b/>
          <w:sz w:val="28"/>
          <w:szCs w:val="28"/>
        </w:rPr>
        <w:t>Д</w:t>
      </w:r>
      <w:r w:rsidR="00EA08D5" w:rsidRPr="00D368D4">
        <w:rPr>
          <w:rFonts w:asciiTheme="minorHAnsi" w:hAnsiTheme="minorHAnsi"/>
          <w:b/>
          <w:sz w:val="28"/>
          <w:szCs w:val="28"/>
          <w:lang w:val="sr-Cyrl-RS"/>
        </w:rPr>
        <w:t>.</w:t>
      </w:r>
    </w:p>
    <w:p w14:paraId="26FC13FA" w14:textId="77777777" w:rsidR="001538EF" w:rsidRPr="00D368D4" w:rsidRDefault="001538EF" w:rsidP="001538EF">
      <w:pPr>
        <w:jc w:val="center"/>
        <w:rPr>
          <w:rFonts w:asciiTheme="minorHAnsi" w:hAnsiTheme="minorHAnsi"/>
          <w:b/>
          <w:sz w:val="28"/>
          <w:szCs w:val="28"/>
        </w:rPr>
      </w:pPr>
      <w:r w:rsidRPr="00D368D4">
        <w:rPr>
          <w:rFonts w:asciiTheme="minorHAnsi" w:hAnsiTheme="minorHAnsi"/>
          <w:b/>
          <w:sz w:val="28"/>
          <w:szCs w:val="28"/>
        </w:rPr>
        <w:t>БАЊА ЛУКА</w:t>
      </w:r>
      <w:r w:rsidRPr="00D368D4">
        <w:rPr>
          <w:rFonts w:asciiTheme="minorHAnsi" w:hAnsiTheme="minorHAnsi"/>
          <w:b/>
          <w:sz w:val="28"/>
          <w:szCs w:val="28"/>
          <w:lang w:val="sr-Cyrl-BA"/>
        </w:rPr>
        <w:t xml:space="preserve"> ЗА 20</w:t>
      </w:r>
      <w:r w:rsidRPr="00D368D4">
        <w:rPr>
          <w:rFonts w:asciiTheme="minorHAnsi" w:hAnsiTheme="minorHAnsi"/>
          <w:b/>
          <w:sz w:val="28"/>
          <w:szCs w:val="28"/>
        </w:rPr>
        <w:t>23</w:t>
      </w:r>
      <w:r w:rsidRPr="00D368D4">
        <w:rPr>
          <w:rFonts w:asciiTheme="minorHAnsi" w:hAnsiTheme="minorHAnsi"/>
          <w:b/>
          <w:sz w:val="28"/>
          <w:szCs w:val="28"/>
          <w:lang w:val="sr-Cyrl-BA"/>
        </w:rPr>
        <w:t>.</w:t>
      </w:r>
      <w:r w:rsidRPr="00D368D4">
        <w:rPr>
          <w:rFonts w:asciiTheme="minorHAnsi" w:hAnsiTheme="minorHAnsi"/>
          <w:b/>
          <w:sz w:val="28"/>
          <w:szCs w:val="28"/>
        </w:rPr>
        <w:t xml:space="preserve"> </w:t>
      </w:r>
      <w:r w:rsidRPr="00D368D4">
        <w:rPr>
          <w:rFonts w:asciiTheme="minorHAnsi" w:hAnsiTheme="minorHAnsi"/>
          <w:b/>
          <w:sz w:val="28"/>
          <w:szCs w:val="28"/>
          <w:lang w:val="sr-Cyrl-BA"/>
        </w:rPr>
        <w:t>ГОДИНУ</w:t>
      </w:r>
      <w:r w:rsidRPr="00D368D4">
        <w:rPr>
          <w:rFonts w:asciiTheme="minorHAnsi" w:hAnsiTheme="minorHAnsi"/>
          <w:b/>
          <w:sz w:val="28"/>
          <w:szCs w:val="28"/>
        </w:rPr>
        <w:t xml:space="preserve"> </w:t>
      </w:r>
    </w:p>
    <w:p w14:paraId="2F9722AE" w14:textId="77777777" w:rsidR="001538EF" w:rsidRPr="00D368D4" w:rsidRDefault="001538EF" w:rsidP="001538EF">
      <w:pPr>
        <w:rPr>
          <w:rFonts w:asciiTheme="minorHAnsi" w:hAnsiTheme="minorHAnsi"/>
          <w:sz w:val="28"/>
          <w:szCs w:val="28"/>
        </w:rPr>
      </w:pPr>
    </w:p>
    <w:p w14:paraId="541A4447" w14:textId="77777777" w:rsidR="001538EF" w:rsidRPr="00D368D4" w:rsidRDefault="001538EF" w:rsidP="001538EF">
      <w:pPr>
        <w:rPr>
          <w:rFonts w:asciiTheme="minorHAnsi" w:hAnsiTheme="minorHAnsi"/>
          <w:sz w:val="28"/>
          <w:szCs w:val="28"/>
        </w:rPr>
      </w:pPr>
    </w:p>
    <w:p w14:paraId="0EBA342F" w14:textId="77777777" w:rsidR="001538EF" w:rsidRPr="00D368D4" w:rsidRDefault="001538EF" w:rsidP="001538EF">
      <w:pPr>
        <w:rPr>
          <w:rFonts w:asciiTheme="minorHAnsi" w:hAnsiTheme="minorHAnsi"/>
          <w:sz w:val="28"/>
          <w:szCs w:val="28"/>
        </w:rPr>
      </w:pPr>
    </w:p>
    <w:p w14:paraId="1870A121" w14:textId="77777777" w:rsidR="001538EF" w:rsidRPr="005767EF" w:rsidRDefault="001538EF" w:rsidP="001538EF">
      <w:pPr>
        <w:rPr>
          <w:rFonts w:asciiTheme="minorHAnsi" w:hAnsiTheme="minorHAnsi"/>
          <w:sz w:val="20"/>
          <w:szCs w:val="20"/>
        </w:rPr>
      </w:pPr>
    </w:p>
    <w:p w14:paraId="33E22F5A" w14:textId="77777777" w:rsidR="001538EF" w:rsidRPr="005767EF" w:rsidRDefault="001538EF" w:rsidP="001538EF">
      <w:pPr>
        <w:rPr>
          <w:rFonts w:asciiTheme="minorHAnsi" w:hAnsiTheme="minorHAnsi"/>
          <w:sz w:val="20"/>
          <w:szCs w:val="20"/>
        </w:rPr>
      </w:pPr>
    </w:p>
    <w:p w14:paraId="073F6AA9" w14:textId="77777777" w:rsidR="001538EF" w:rsidRPr="005767EF" w:rsidRDefault="001538EF" w:rsidP="001538EF">
      <w:pPr>
        <w:rPr>
          <w:rFonts w:asciiTheme="minorHAnsi" w:hAnsiTheme="minorHAnsi"/>
          <w:sz w:val="20"/>
          <w:szCs w:val="20"/>
        </w:rPr>
      </w:pPr>
    </w:p>
    <w:p w14:paraId="26EB9C81" w14:textId="77777777" w:rsidR="001538EF" w:rsidRPr="005767EF" w:rsidRDefault="001538EF" w:rsidP="001538EF">
      <w:pPr>
        <w:rPr>
          <w:rFonts w:asciiTheme="minorHAnsi" w:hAnsiTheme="minorHAnsi"/>
          <w:sz w:val="20"/>
          <w:szCs w:val="20"/>
        </w:rPr>
      </w:pPr>
    </w:p>
    <w:p w14:paraId="37DFC2CD" w14:textId="77777777" w:rsidR="001538EF" w:rsidRPr="005767EF" w:rsidRDefault="001538EF" w:rsidP="001538EF">
      <w:pPr>
        <w:rPr>
          <w:rFonts w:asciiTheme="minorHAnsi" w:hAnsiTheme="minorHAnsi"/>
          <w:sz w:val="20"/>
          <w:szCs w:val="20"/>
        </w:rPr>
      </w:pPr>
    </w:p>
    <w:p w14:paraId="1E410652" w14:textId="77777777" w:rsidR="001538EF" w:rsidRPr="005767EF" w:rsidRDefault="001538EF" w:rsidP="001538EF">
      <w:pPr>
        <w:rPr>
          <w:rFonts w:asciiTheme="minorHAnsi" w:hAnsiTheme="minorHAnsi"/>
          <w:sz w:val="20"/>
          <w:szCs w:val="20"/>
        </w:rPr>
      </w:pPr>
    </w:p>
    <w:p w14:paraId="3F9C3515" w14:textId="77777777" w:rsidR="001538EF" w:rsidRPr="005767EF" w:rsidRDefault="001538EF" w:rsidP="001538EF">
      <w:pPr>
        <w:rPr>
          <w:rFonts w:asciiTheme="minorHAnsi" w:hAnsiTheme="minorHAnsi"/>
          <w:sz w:val="20"/>
          <w:szCs w:val="20"/>
        </w:rPr>
      </w:pPr>
    </w:p>
    <w:p w14:paraId="66AD306E" w14:textId="77777777" w:rsidR="001538EF" w:rsidRPr="005767EF" w:rsidRDefault="001538EF" w:rsidP="001538EF">
      <w:pPr>
        <w:rPr>
          <w:rFonts w:asciiTheme="minorHAnsi" w:hAnsiTheme="minorHAnsi"/>
          <w:sz w:val="20"/>
          <w:szCs w:val="20"/>
          <w:lang w:val="sr-Cyrl-BA"/>
        </w:rPr>
      </w:pPr>
    </w:p>
    <w:p w14:paraId="1D27E8F2" w14:textId="77777777" w:rsidR="001538EF" w:rsidRPr="005767EF" w:rsidRDefault="001538EF" w:rsidP="001538EF">
      <w:pPr>
        <w:rPr>
          <w:rFonts w:asciiTheme="minorHAnsi" w:hAnsiTheme="minorHAnsi"/>
          <w:sz w:val="20"/>
          <w:szCs w:val="20"/>
          <w:lang w:val="sr-Cyrl-BA"/>
        </w:rPr>
      </w:pPr>
    </w:p>
    <w:p w14:paraId="1F203E7E" w14:textId="77777777" w:rsidR="001538EF" w:rsidRPr="005767EF" w:rsidRDefault="001538EF" w:rsidP="001538EF">
      <w:pPr>
        <w:rPr>
          <w:rFonts w:asciiTheme="minorHAnsi" w:hAnsiTheme="minorHAnsi"/>
          <w:sz w:val="20"/>
          <w:szCs w:val="20"/>
          <w:lang w:val="sr-Cyrl-BA"/>
        </w:rPr>
      </w:pPr>
    </w:p>
    <w:p w14:paraId="330A328E" w14:textId="77777777" w:rsidR="001538EF" w:rsidRPr="005767EF" w:rsidRDefault="001538EF" w:rsidP="001538EF">
      <w:pPr>
        <w:rPr>
          <w:rFonts w:asciiTheme="minorHAnsi" w:hAnsiTheme="minorHAnsi"/>
          <w:sz w:val="20"/>
          <w:szCs w:val="20"/>
          <w:lang w:val="sr-Cyrl-BA"/>
        </w:rPr>
      </w:pPr>
    </w:p>
    <w:p w14:paraId="29422FB4" w14:textId="77777777" w:rsidR="001538EF" w:rsidRPr="005767EF" w:rsidRDefault="001538EF" w:rsidP="001538EF">
      <w:pPr>
        <w:rPr>
          <w:rFonts w:asciiTheme="minorHAnsi" w:hAnsiTheme="minorHAnsi"/>
          <w:sz w:val="20"/>
          <w:szCs w:val="20"/>
          <w:lang w:val="sr-Cyrl-BA"/>
        </w:rPr>
      </w:pPr>
    </w:p>
    <w:p w14:paraId="6B2CD61E" w14:textId="77777777" w:rsidR="001538EF" w:rsidRPr="005767EF" w:rsidRDefault="001538EF" w:rsidP="001538EF">
      <w:pPr>
        <w:rPr>
          <w:rFonts w:asciiTheme="minorHAnsi" w:hAnsiTheme="minorHAnsi"/>
          <w:sz w:val="20"/>
          <w:szCs w:val="20"/>
          <w:lang w:val="sr-Cyrl-BA"/>
        </w:rPr>
      </w:pPr>
    </w:p>
    <w:p w14:paraId="321F32E9" w14:textId="77777777" w:rsidR="001538EF" w:rsidRPr="005767EF" w:rsidRDefault="001538EF" w:rsidP="001538EF">
      <w:pPr>
        <w:rPr>
          <w:rFonts w:asciiTheme="minorHAnsi" w:hAnsiTheme="minorHAnsi"/>
          <w:sz w:val="20"/>
          <w:szCs w:val="20"/>
          <w:lang w:val="sr-Cyrl-BA"/>
        </w:rPr>
      </w:pPr>
    </w:p>
    <w:p w14:paraId="71F0F1C7" w14:textId="77777777" w:rsidR="001538EF" w:rsidRPr="005767EF" w:rsidRDefault="001538EF" w:rsidP="001538EF">
      <w:pPr>
        <w:rPr>
          <w:rFonts w:asciiTheme="minorHAnsi" w:hAnsiTheme="minorHAnsi"/>
          <w:sz w:val="20"/>
          <w:szCs w:val="20"/>
          <w:lang w:val="sr-Cyrl-BA"/>
        </w:rPr>
      </w:pPr>
    </w:p>
    <w:p w14:paraId="43785707" w14:textId="77777777" w:rsidR="001538EF" w:rsidRDefault="001538EF" w:rsidP="001538EF">
      <w:pPr>
        <w:rPr>
          <w:rFonts w:asciiTheme="minorHAnsi" w:hAnsiTheme="minorHAnsi"/>
          <w:sz w:val="20"/>
          <w:szCs w:val="20"/>
          <w:lang w:val="sr-Cyrl-BA"/>
        </w:rPr>
      </w:pPr>
    </w:p>
    <w:p w14:paraId="7AAF8B92" w14:textId="77777777" w:rsidR="00545FA4" w:rsidRDefault="00545FA4" w:rsidP="001538EF">
      <w:pPr>
        <w:rPr>
          <w:rFonts w:asciiTheme="minorHAnsi" w:hAnsiTheme="minorHAnsi"/>
          <w:sz w:val="20"/>
          <w:szCs w:val="20"/>
          <w:lang w:val="sr-Cyrl-BA"/>
        </w:rPr>
      </w:pPr>
    </w:p>
    <w:p w14:paraId="3B8A4CB0" w14:textId="77777777" w:rsidR="00545FA4" w:rsidRDefault="00545FA4" w:rsidP="001538EF">
      <w:pPr>
        <w:rPr>
          <w:rFonts w:asciiTheme="minorHAnsi" w:hAnsiTheme="minorHAnsi"/>
          <w:sz w:val="20"/>
          <w:szCs w:val="20"/>
          <w:lang w:val="sr-Cyrl-BA"/>
        </w:rPr>
      </w:pPr>
    </w:p>
    <w:p w14:paraId="43ACBE19" w14:textId="77777777" w:rsidR="00545FA4" w:rsidRDefault="00545FA4" w:rsidP="001538EF">
      <w:pPr>
        <w:rPr>
          <w:rFonts w:asciiTheme="minorHAnsi" w:hAnsiTheme="minorHAnsi"/>
          <w:sz w:val="20"/>
          <w:szCs w:val="20"/>
          <w:lang w:val="sr-Cyrl-BA"/>
        </w:rPr>
      </w:pPr>
    </w:p>
    <w:p w14:paraId="5505ADD5" w14:textId="77777777" w:rsidR="00545FA4" w:rsidRDefault="00545FA4" w:rsidP="001538EF">
      <w:pPr>
        <w:rPr>
          <w:rFonts w:asciiTheme="minorHAnsi" w:hAnsiTheme="minorHAnsi"/>
          <w:sz w:val="20"/>
          <w:szCs w:val="20"/>
          <w:lang w:val="sr-Cyrl-BA"/>
        </w:rPr>
      </w:pPr>
    </w:p>
    <w:p w14:paraId="55EA9BAB" w14:textId="77777777" w:rsidR="00545FA4" w:rsidRDefault="00545FA4" w:rsidP="001538EF">
      <w:pPr>
        <w:rPr>
          <w:rFonts w:asciiTheme="minorHAnsi" w:hAnsiTheme="minorHAnsi"/>
          <w:sz w:val="20"/>
          <w:szCs w:val="20"/>
          <w:lang w:val="sr-Cyrl-BA"/>
        </w:rPr>
      </w:pPr>
    </w:p>
    <w:p w14:paraId="2462E06A" w14:textId="77777777" w:rsidR="00545FA4" w:rsidRDefault="00545FA4" w:rsidP="001538EF">
      <w:pPr>
        <w:rPr>
          <w:rFonts w:asciiTheme="minorHAnsi" w:hAnsiTheme="minorHAnsi"/>
          <w:sz w:val="20"/>
          <w:szCs w:val="20"/>
          <w:lang w:val="sr-Cyrl-BA"/>
        </w:rPr>
      </w:pPr>
    </w:p>
    <w:p w14:paraId="00480E90" w14:textId="77777777" w:rsidR="00545FA4" w:rsidRDefault="00545FA4" w:rsidP="001538EF">
      <w:pPr>
        <w:rPr>
          <w:rFonts w:asciiTheme="minorHAnsi" w:hAnsiTheme="minorHAnsi"/>
          <w:sz w:val="20"/>
          <w:szCs w:val="20"/>
          <w:lang w:val="sr-Cyrl-BA"/>
        </w:rPr>
      </w:pPr>
    </w:p>
    <w:p w14:paraId="67636BCC" w14:textId="77777777" w:rsidR="001538EF" w:rsidRPr="007B2869" w:rsidRDefault="001538EF" w:rsidP="001538EF">
      <w:pPr>
        <w:rPr>
          <w:rFonts w:asciiTheme="minorHAnsi" w:hAnsiTheme="minorHAnsi"/>
          <w:sz w:val="20"/>
          <w:szCs w:val="20"/>
          <w:lang w:val="sr-Cyrl-RS"/>
        </w:rPr>
      </w:pPr>
    </w:p>
    <w:p w14:paraId="6C2B67DF" w14:textId="77777777" w:rsidR="001538EF" w:rsidRPr="005767EF" w:rsidRDefault="001538EF" w:rsidP="001538EF">
      <w:pPr>
        <w:jc w:val="center"/>
        <w:rPr>
          <w:rFonts w:asciiTheme="minorHAnsi" w:hAnsiTheme="minorHAnsi"/>
          <w:sz w:val="20"/>
          <w:szCs w:val="20"/>
          <w:lang w:val="sr-Cyrl-BA"/>
        </w:rPr>
      </w:pPr>
      <w:r w:rsidRPr="005767EF">
        <w:rPr>
          <w:rFonts w:asciiTheme="minorHAnsi" w:hAnsiTheme="minorHAnsi"/>
          <w:sz w:val="20"/>
          <w:szCs w:val="20"/>
        </w:rPr>
        <w:t>БАЊА ЛУКА</w:t>
      </w:r>
      <w:r w:rsidR="00C547E3">
        <w:rPr>
          <w:rFonts w:asciiTheme="minorHAnsi" w:hAnsiTheme="minorHAnsi"/>
          <w:sz w:val="20"/>
          <w:szCs w:val="20"/>
          <w:lang w:val="sr-Cyrl-BA"/>
        </w:rPr>
        <w:t xml:space="preserve">, </w:t>
      </w:r>
      <w:r w:rsidR="0076154D">
        <w:rPr>
          <w:rFonts w:asciiTheme="minorHAnsi" w:hAnsiTheme="minorHAnsi"/>
          <w:sz w:val="20"/>
          <w:szCs w:val="20"/>
          <w:lang w:val="sr-Cyrl-RS"/>
        </w:rPr>
        <w:t xml:space="preserve">јун </w:t>
      </w:r>
      <w:r w:rsidRPr="005767EF">
        <w:rPr>
          <w:rFonts w:asciiTheme="minorHAnsi" w:hAnsiTheme="minorHAnsi"/>
          <w:sz w:val="20"/>
          <w:szCs w:val="20"/>
          <w:lang w:val="sr-Cyrl-BA"/>
        </w:rPr>
        <w:t>2024</w:t>
      </w:r>
      <w:r w:rsidRPr="005767EF">
        <w:rPr>
          <w:rFonts w:asciiTheme="minorHAnsi" w:hAnsiTheme="minorHAnsi"/>
          <w:sz w:val="20"/>
          <w:szCs w:val="20"/>
        </w:rPr>
        <w:t xml:space="preserve">. </w:t>
      </w:r>
      <w:r w:rsidRPr="005767EF">
        <w:rPr>
          <w:rFonts w:asciiTheme="minorHAnsi" w:hAnsiTheme="minorHAnsi"/>
          <w:sz w:val="20"/>
          <w:szCs w:val="20"/>
          <w:lang w:val="sr-Cyrl-RS"/>
        </w:rPr>
        <w:t>г</w:t>
      </w:r>
      <w:r w:rsidRPr="005767EF">
        <w:rPr>
          <w:rFonts w:asciiTheme="minorHAnsi" w:hAnsiTheme="minorHAnsi"/>
          <w:sz w:val="20"/>
          <w:szCs w:val="20"/>
        </w:rPr>
        <w:t>одине</w:t>
      </w:r>
    </w:p>
    <w:p w14:paraId="583CBA6A" w14:textId="77777777" w:rsidR="001538EF" w:rsidRPr="005767EF" w:rsidRDefault="001538EF" w:rsidP="001538EF">
      <w:pPr>
        <w:rPr>
          <w:rFonts w:asciiTheme="minorHAnsi" w:hAnsiTheme="minorHAnsi"/>
          <w:sz w:val="20"/>
          <w:szCs w:val="20"/>
        </w:rPr>
      </w:pPr>
    </w:p>
    <w:p w14:paraId="2CC85DA2" w14:textId="77777777" w:rsidR="001538EF" w:rsidRPr="005767EF" w:rsidRDefault="001538EF" w:rsidP="001538EF">
      <w:pPr>
        <w:rPr>
          <w:rFonts w:asciiTheme="minorHAnsi" w:hAnsiTheme="minorHAnsi"/>
          <w:sz w:val="20"/>
          <w:szCs w:val="20"/>
        </w:rPr>
      </w:pPr>
    </w:p>
    <w:p w14:paraId="1DBCE3A0" w14:textId="77777777" w:rsidR="001538EF" w:rsidRPr="005767EF" w:rsidRDefault="001538EF" w:rsidP="001538EF">
      <w:pPr>
        <w:jc w:val="center"/>
        <w:rPr>
          <w:rFonts w:asciiTheme="minorHAnsi" w:hAnsiTheme="minorHAnsi"/>
          <w:b/>
          <w:sz w:val="20"/>
          <w:szCs w:val="20"/>
          <w:lang w:val="sr-Cyrl-BA"/>
        </w:rPr>
      </w:pPr>
    </w:p>
    <w:p w14:paraId="72752772" w14:textId="77777777" w:rsidR="001538EF" w:rsidRPr="005767EF" w:rsidRDefault="001538EF" w:rsidP="001538EF">
      <w:pPr>
        <w:jc w:val="center"/>
        <w:rPr>
          <w:rFonts w:asciiTheme="minorHAnsi" w:hAnsiTheme="minorHAnsi"/>
          <w:b/>
          <w:sz w:val="20"/>
          <w:szCs w:val="20"/>
          <w:lang w:val="sr-Cyrl-BA"/>
        </w:rPr>
      </w:pPr>
      <w:r w:rsidRPr="005767EF">
        <w:rPr>
          <w:rFonts w:asciiTheme="minorHAnsi" w:hAnsiTheme="minorHAnsi"/>
          <w:b/>
          <w:sz w:val="20"/>
          <w:szCs w:val="20"/>
          <w:lang w:val="sr-Cyrl-BA"/>
        </w:rPr>
        <w:t xml:space="preserve">С А Д Р Ж А Ј </w:t>
      </w:r>
    </w:p>
    <w:p w14:paraId="137734B5" w14:textId="77777777" w:rsidR="001538EF" w:rsidRPr="005767EF" w:rsidRDefault="001538EF" w:rsidP="001538EF">
      <w:pPr>
        <w:rPr>
          <w:rFonts w:asciiTheme="minorHAnsi" w:hAnsiTheme="minorHAnsi"/>
          <w:sz w:val="20"/>
          <w:szCs w:val="20"/>
          <w:lang w:val="sr-Cyrl-BA"/>
        </w:rPr>
      </w:pPr>
    </w:p>
    <w:p w14:paraId="5F2DB3A2" w14:textId="77777777" w:rsidR="001538EF" w:rsidRPr="005767EF" w:rsidRDefault="001538EF" w:rsidP="001538EF">
      <w:pPr>
        <w:rPr>
          <w:rFonts w:asciiTheme="minorHAnsi" w:hAnsiTheme="minorHAnsi"/>
          <w:sz w:val="20"/>
          <w:szCs w:val="20"/>
        </w:rPr>
      </w:pPr>
    </w:p>
    <w:p w14:paraId="77512A4F" w14:textId="77777777" w:rsidR="001538EF" w:rsidRPr="005767EF" w:rsidRDefault="001538EF" w:rsidP="001538EF">
      <w:pPr>
        <w:rPr>
          <w:rFonts w:asciiTheme="minorHAnsi" w:hAnsiTheme="minorHAnsi"/>
          <w:sz w:val="20"/>
          <w:szCs w:val="20"/>
        </w:rPr>
      </w:pPr>
    </w:p>
    <w:p w14:paraId="7FD11E71" w14:textId="77777777" w:rsidR="001538EF" w:rsidRPr="005767EF" w:rsidRDefault="001538EF" w:rsidP="001538EF">
      <w:pPr>
        <w:autoSpaceDE w:val="0"/>
        <w:autoSpaceDN w:val="0"/>
        <w:adjustRightInd w:val="0"/>
        <w:jc w:val="left"/>
        <w:rPr>
          <w:rFonts w:asciiTheme="minorHAnsi" w:eastAsiaTheme="minorHAnsi" w:hAnsiTheme="minorHAnsi"/>
          <w:color w:val="auto"/>
          <w:sz w:val="20"/>
          <w:szCs w:val="20"/>
          <w:lang w:val="sr-Cyrl-BA" w:eastAsia="en-US"/>
        </w:rPr>
      </w:pPr>
    </w:p>
    <w:sdt>
      <w:sdtPr>
        <w:rPr>
          <w:rFonts w:asciiTheme="minorHAnsi" w:hAnsiTheme="minorHAnsi"/>
          <w:sz w:val="20"/>
          <w:szCs w:val="20"/>
        </w:rPr>
        <w:id w:val="1009410468"/>
        <w:docPartObj>
          <w:docPartGallery w:val="Table of Contents"/>
          <w:docPartUnique/>
        </w:docPartObj>
      </w:sdtPr>
      <w:sdtEndPr>
        <w:rPr>
          <w:b/>
          <w:bCs/>
          <w:noProof/>
        </w:rPr>
      </w:sdtEndPr>
      <w:sdtContent>
        <w:p w14:paraId="1489DE19" w14:textId="77777777" w:rsidR="001538EF" w:rsidRPr="005767EF" w:rsidRDefault="001538EF" w:rsidP="001538EF">
          <w:pPr>
            <w:rPr>
              <w:rFonts w:asciiTheme="minorHAnsi" w:hAnsiTheme="minorHAnsi"/>
              <w:sz w:val="20"/>
              <w:szCs w:val="20"/>
            </w:rPr>
          </w:pPr>
        </w:p>
        <w:p w14:paraId="081A211A" w14:textId="6EFA1C97" w:rsidR="001538EF" w:rsidRPr="005767EF" w:rsidRDefault="001538EF" w:rsidP="005D0BE8">
          <w:pPr>
            <w:pStyle w:val="TOC1"/>
            <w:tabs>
              <w:tab w:val="clear" w:pos="284"/>
              <w:tab w:val="left" w:pos="426"/>
              <w:tab w:val="left" w:pos="709"/>
            </w:tabs>
            <w:rPr>
              <w:rFonts w:eastAsiaTheme="minorEastAsia"/>
              <w:noProof/>
              <w:color w:val="auto"/>
              <w:lang w:val="sr-Latn-RS" w:eastAsia="sr-Latn-RS"/>
            </w:rPr>
          </w:pPr>
          <w:r w:rsidRPr="005767EF">
            <w:fldChar w:fldCharType="begin"/>
          </w:r>
          <w:r w:rsidRPr="005767EF">
            <w:instrText xml:space="preserve"> TOC \o "1-3" \h \z \u </w:instrText>
          </w:r>
          <w:r w:rsidRPr="005767EF">
            <w:fldChar w:fldCharType="separate"/>
          </w:r>
          <w:hyperlink w:anchor="_Toc135292166" w:history="1">
            <w:r w:rsidR="005D0BE8">
              <w:rPr>
                <w:rStyle w:val="Hyperlink"/>
                <w:noProof/>
                <w:szCs w:val="20"/>
              </w:rPr>
              <w:t xml:space="preserve">          </w:t>
            </w:r>
            <w:r w:rsidRPr="005767EF">
              <w:rPr>
                <w:rStyle w:val="Hyperlink"/>
                <w:noProof/>
                <w:szCs w:val="20"/>
              </w:rPr>
              <w:t>УВОД</w:t>
            </w:r>
            <w:r w:rsidRPr="005767EF">
              <w:rPr>
                <w:noProof/>
                <w:webHidden/>
              </w:rPr>
              <w:tab/>
            </w:r>
            <w:r w:rsidRPr="005767EF">
              <w:rPr>
                <w:noProof/>
                <w:webHidden/>
              </w:rPr>
              <w:fldChar w:fldCharType="begin"/>
            </w:r>
            <w:r w:rsidRPr="005767EF">
              <w:rPr>
                <w:noProof/>
                <w:webHidden/>
              </w:rPr>
              <w:instrText xml:space="preserve"> PAGEREF _Toc135292166 \h </w:instrText>
            </w:r>
            <w:r w:rsidRPr="005767EF">
              <w:rPr>
                <w:noProof/>
                <w:webHidden/>
              </w:rPr>
            </w:r>
            <w:r w:rsidRPr="005767EF">
              <w:rPr>
                <w:noProof/>
                <w:webHidden/>
              </w:rPr>
              <w:fldChar w:fldCharType="separate"/>
            </w:r>
            <w:r w:rsidR="006A433D">
              <w:rPr>
                <w:noProof/>
                <w:webHidden/>
              </w:rPr>
              <w:t>3</w:t>
            </w:r>
            <w:r w:rsidRPr="005767EF">
              <w:rPr>
                <w:noProof/>
                <w:webHidden/>
              </w:rPr>
              <w:fldChar w:fldCharType="end"/>
            </w:r>
          </w:hyperlink>
        </w:p>
        <w:p w14:paraId="6D74A8E0" w14:textId="034F8958" w:rsidR="001538EF" w:rsidRPr="005767EF" w:rsidRDefault="00F823E7" w:rsidP="005D0BE8">
          <w:pPr>
            <w:pStyle w:val="TOC1"/>
            <w:tabs>
              <w:tab w:val="clear" w:pos="284"/>
              <w:tab w:val="left" w:pos="426"/>
              <w:tab w:val="left" w:pos="709"/>
            </w:tabs>
            <w:rPr>
              <w:rFonts w:eastAsiaTheme="minorEastAsia"/>
              <w:noProof/>
              <w:color w:val="auto"/>
              <w:lang w:val="sr-Latn-RS" w:eastAsia="sr-Latn-RS"/>
            </w:rPr>
          </w:pPr>
          <w:hyperlink w:anchor="_Toc135292167" w:history="1">
            <w:r w:rsidR="005D0BE8">
              <w:rPr>
                <w:rStyle w:val="Hyperlink"/>
                <w:rFonts w:eastAsiaTheme="minorHAnsi"/>
                <w:noProof/>
                <w:szCs w:val="20"/>
              </w:rPr>
              <w:t>1</w:t>
            </w:r>
            <w:r w:rsidR="005D0BE8">
              <w:rPr>
                <w:rFonts w:eastAsiaTheme="minorEastAsia"/>
                <w:noProof/>
                <w:color w:val="auto"/>
                <w:lang w:val="sr-Cyrl-RS" w:eastAsia="sr-Latn-RS"/>
              </w:rPr>
              <w:t xml:space="preserve">     </w:t>
            </w:r>
            <w:r w:rsidR="001538EF" w:rsidRPr="005767EF">
              <w:rPr>
                <w:rStyle w:val="Hyperlink"/>
                <w:rFonts w:eastAsiaTheme="minorHAnsi"/>
                <w:noProof/>
                <w:szCs w:val="20"/>
              </w:rPr>
              <w:t xml:space="preserve">ОРГАНИЗАЦИЈА И НАЧИН РАДА ГАРАНТНОГ ФОНДА </w:t>
            </w:r>
            <w:r w:rsidR="001538EF" w:rsidRPr="005767EF">
              <w:rPr>
                <w:rStyle w:val="Hyperlink"/>
                <w:rFonts w:eastAsiaTheme="minorHAnsi"/>
                <w:noProof/>
                <w:szCs w:val="20"/>
                <w:lang w:val="sr-Cyrl-BA"/>
              </w:rPr>
              <w:t>РЕПУБЛИКЕ СРПСКЕ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_Toc135292167 \h </w:instrText>
            </w:r>
            <w:r w:rsidR="001538EF" w:rsidRPr="005767EF">
              <w:rPr>
                <w:noProof/>
                <w:webHidden/>
              </w:rPr>
            </w:r>
            <w:r w:rsidR="001538EF" w:rsidRPr="005767EF">
              <w:rPr>
                <w:noProof/>
                <w:webHidden/>
              </w:rPr>
              <w:fldChar w:fldCharType="separate"/>
            </w:r>
            <w:r w:rsidR="006A433D">
              <w:rPr>
                <w:noProof/>
                <w:webHidden/>
              </w:rPr>
              <w:t>3</w:t>
            </w:r>
            <w:r w:rsidR="001538EF" w:rsidRPr="005767EF">
              <w:rPr>
                <w:noProof/>
                <w:webHidden/>
              </w:rPr>
              <w:fldChar w:fldCharType="end"/>
            </w:r>
          </w:hyperlink>
        </w:p>
        <w:p w14:paraId="2F7F8FB0" w14:textId="53BACFFE" w:rsidR="001538EF" w:rsidRPr="005767EF" w:rsidRDefault="00F823E7" w:rsidP="005D0BE8">
          <w:pPr>
            <w:pStyle w:val="TOC1"/>
            <w:tabs>
              <w:tab w:val="clear" w:pos="284"/>
              <w:tab w:val="left" w:pos="426"/>
              <w:tab w:val="left" w:pos="709"/>
            </w:tabs>
            <w:rPr>
              <w:rFonts w:eastAsiaTheme="minorEastAsia"/>
              <w:noProof/>
              <w:color w:val="auto"/>
              <w:lang w:val="sr-Latn-RS" w:eastAsia="sr-Latn-RS"/>
            </w:rPr>
          </w:pPr>
          <w:hyperlink w:anchor="_Toc135292168" w:history="1">
            <w:r w:rsidR="005D0BE8">
              <w:rPr>
                <w:rStyle w:val="Hyperlink"/>
                <w:rFonts w:eastAsiaTheme="minorHAnsi"/>
                <w:noProof/>
                <w:szCs w:val="20"/>
              </w:rPr>
              <w:t>2</w:t>
            </w:r>
            <w:r w:rsidR="005D0BE8">
              <w:rPr>
                <w:rFonts w:eastAsiaTheme="minorEastAsia"/>
                <w:noProof/>
                <w:color w:val="auto"/>
                <w:lang w:val="sr-Cyrl-RS" w:eastAsia="sr-Latn-RS"/>
              </w:rPr>
              <w:t xml:space="preserve">     </w:t>
            </w:r>
            <w:r w:rsidR="00EA08D5">
              <w:rPr>
                <w:rStyle w:val="Hyperlink"/>
                <w:rFonts w:eastAsiaTheme="minorHAnsi"/>
                <w:noProof/>
                <w:szCs w:val="20"/>
              </w:rPr>
              <w:t>АНАЛИЗА ИЗДАНИХ</w:t>
            </w:r>
            <w:r w:rsidR="001538EF" w:rsidRPr="005767EF">
              <w:rPr>
                <w:rStyle w:val="Hyperlink"/>
                <w:rFonts w:eastAsiaTheme="minorHAnsi"/>
                <w:noProof/>
                <w:szCs w:val="20"/>
              </w:rPr>
              <w:t xml:space="preserve"> ГАРАНЦИЈА У 202</w:t>
            </w:r>
            <w:r w:rsidR="007339B5" w:rsidRPr="005767EF">
              <w:rPr>
                <w:rStyle w:val="Hyperlink"/>
                <w:rFonts w:eastAsiaTheme="minorHAnsi"/>
                <w:noProof/>
                <w:szCs w:val="20"/>
              </w:rPr>
              <w:t>3</w:t>
            </w:r>
            <w:r w:rsidR="001538EF" w:rsidRPr="005767EF">
              <w:rPr>
                <w:rStyle w:val="Hyperlink"/>
                <w:rFonts w:eastAsiaTheme="minorHAnsi"/>
                <w:noProof/>
                <w:szCs w:val="20"/>
              </w:rPr>
              <w:t>. 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_Toc135292168 \h </w:instrText>
            </w:r>
            <w:r w:rsidR="001538EF" w:rsidRPr="005767EF">
              <w:rPr>
                <w:noProof/>
                <w:webHidden/>
              </w:rPr>
            </w:r>
            <w:r w:rsidR="001538EF" w:rsidRPr="005767EF">
              <w:rPr>
                <w:noProof/>
                <w:webHidden/>
              </w:rPr>
              <w:fldChar w:fldCharType="separate"/>
            </w:r>
            <w:r w:rsidR="006A433D">
              <w:rPr>
                <w:noProof/>
                <w:webHidden/>
              </w:rPr>
              <w:t>4</w:t>
            </w:r>
            <w:r w:rsidR="001538EF" w:rsidRPr="005767EF">
              <w:rPr>
                <w:noProof/>
                <w:webHidden/>
              </w:rPr>
              <w:fldChar w:fldCharType="end"/>
            </w:r>
          </w:hyperlink>
        </w:p>
        <w:p w14:paraId="4BB82595" w14:textId="26BFDCB5" w:rsidR="001538EF" w:rsidRPr="005767EF" w:rsidRDefault="005D0BE8" w:rsidP="00BC5934">
          <w:pPr>
            <w:pStyle w:val="TOC2"/>
            <w:rPr>
              <w:rFonts w:eastAsiaTheme="minorEastAsia"/>
              <w:noProof/>
              <w:color w:val="auto"/>
              <w:lang w:val="sr-Latn-RS" w:eastAsia="sr-Latn-RS"/>
            </w:rPr>
          </w:pPr>
          <w:r>
            <w:rPr>
              <w:lang w:val="sr-Cyrl-RS"/>
            </w:rPr>
            <w:t xml:space="preserve">   </w:t>
          </w:r>
          <w:hyperlink w:anchor="_Toc135292169" w:history="1">
            <w:r>
              <w:rPr>
                <w:rStyle w:val="Hyperlink"/>
                <w:noProof/>
                <w:szCs w:val="20"/>
              </w:rPr>
              <w:t>2</w:t>
            </w:r>
            <w:r w:rsidR="001538EF" w:rsidRPr="005767EF">
              <w:rPr>
                <w:rStyle w:val="Hyperlink"/>
                <w:noProof/>
                <w:szCs w:val="20"/>
              </w:rPr>
              <w:t>.1</w:t>
            </w:r>
            <w:r w:rsidR="001538EF" w:rsidRPr="005767EF">
              <w:rPr>
                <w:rFonts w:eastAsiaTheme="minorEastAsia"/>
                <w:noProof/>
                <w:color w:val="auto"/>
                <w:lang w:val="sr-Latn-RS" w:eastAsia="sr-Latn-RS"/>
              </w:rPr>
              <w:tab/>
            </w:r>
            <w:r w:rsidRPr="005D0BE8">
              <w:t xml:space="preserve">АНАЛИЗА ИЗДАНИХ ГАРАНЦИЈА У </w:t>
            </w:r>
            <w:r w:rsidRPr="005D0BE8">
              <w:rPr>
                <w:lang w:val="sr-Cyrl-RS"/>
              </w:rPr>
              <w:t xml:space="preserve">ОКВИРУ ГАРАНТНИХ ЛИНИЈА </w:t>
            </w:r>
            <w:r w:rsidRPr="005D0BE8">
              <w:t>У ПЕРИОДУ 01.01.2023. - 31.12.2023. ГОДИНЕ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_Toc135292169 \h </w:instrText>
            </w:r>
            <w:r w:rsidR="001538EF" w:rsidRPr="005767EF">
              <w:rPr>
                <w:noProof/>
                <w:webHidden/>
              </w:rPr>
            </w:r>
            <w:r w:rsidR="001538EF" w:rsidRPr="005767EF">
              <w:rPr>
                <w:noProof/>
                <w:webHidden/>
              </w:rPr>
              <w:fldChar w:fldCharType="separate"/>
            </w:r>
            <w:r w:rsidR="006A433D">
              <w:rPr>
                <w:noProof/>
                <w:webHidden/>
              </w:rPr>
              <w:t>4</w:t>
            </w:r>
            <w:r w:rsidR="001538EF" w:rsidRPr="005767EF">
              <w:rPr>
                <w:noProof/>
                <w:webHidden/>
              </w:rPr>
              <w:fldChar w:fldCharType="end"/>
            </w:r>
          </w:hyperlink>
        </w:p>
        <w:p w14:paraId="7286AC61" w14:textId="11ADC918" w:rsidR="001538EF" w:rsidRPr="00444987" w:rsidRDefault="005D0BE8" w:rsidP="00BC5934">
          <w:pPr>
            <w:pStyle w:val="TOC2"/>
            <w:rPr>
              <w:rFonts w:eastAsiaTheme="minorEastAsia"/>
              <w:noProof/>
              <w:color w:val="auto"/>
              <w:lang w:val="sr-Cyrl-RS" w:eastAsia="sr-Latn-RS"/>
            </w:rPr>
          </w:pPr>
          <w:r>
            <w:rPr>
              <w:lang w:val="sr-Cyrl-RS"/>
            </w:rPr>
            <w:t xml:space="preserve">  </w:t>
          </w:r>
          <w:hyperlink w:anchor="_Toc135292170" w:history="1">
            <w:r>
              <w:rPr>
                <w:rStyle w:val="Hyperlink"/>
                <w:noProof/>
                <w:szCs w:val="20"/>
              </w:rPr>
              <w:t>2</w:t>
            </w:r>
            <w:r w:rsidR="001538EF" w:rsidRPr="005767EF">
              <w:rPr>
                <w:rStyle w:val="Hyperlink"/>
                <w:noProof/>
                <w:szCs w:val="20"/>
              </w:rPr>
              <w:t>.2</w:t>
            </w:r>
            <w:r w:rsidR="001538EF" w:rsidRPr="005767EF">
              <w:rPr>
                <w:rFonts w:eastAsiaTheme="minorEastAsia"/>
                <w:noProof/>
                <w:color w:val="auto"/>
                <w:lang w:val="sr-Latn-RS" w:eastAsia="sr-Latn-RS"/>
              </w:rPr>
              <w:tab/>
            </w:r>
            <w:r w:rsidR="001538EF" w:rsidRPr="005767EF">
              <w:rPr>
                <w:rStyle w:val="Hyperlink"/>
                <w:noProof/>
                <w:szCs w:val="20"/>
              </w:rPr>
              <w:t xml:space="preserve">АНАЛИЗА ИЗДАНИХ ГАРАНЦИЈА </w:t>
            </w:r>
            <w:r w:rsidR="00EA08D5">
              <w:rPr>
                <w:rStyle w:val="Hyperlink"/>
                <w:noProof/>
                <w:szCs w:val="20"/>
                <w:lang w:val="sr-Cyrl-RS"/>
              </w:rPr>
              <w:t>У ОКВИРУ</w:t>
            </w:r>
            <w:r w:rsidR="00EA08D5">
              <w:rPr>
                <w:rStyle w:val="Hyperlink"/>
                <w:noProof/>
                <w:szCs w:val="20"/>
              </w:rPr>
              <w:t xml:space="preserve"> КРЕДИТН</w:t>
            </w:r>
            <w:r w:rsidR="00EA08D5">
              <w:rPr>
                <w:rStyle w:val="Hyperlink"/>
                <w:noProof/>
                <w:szCs w:val="20"/>
                <w:lang w:val="sr-Cyrl-RS"/>
              </w:rPr>
              <w:t>ОГ</w:t>
            </w:r>
            <w:r w:rsidR="001538EF" w:rsidRPr="005767EF">
              <w:rPr>
                <w:rStyle w:val="Hyperlink"/>
                <w:noProof/>
                <w:szCs w:val="20"/>
              </w:rPr>
              <w:t xml:space="preserve"> ПОРТФ</w:t>
            </w:r>
            <w:r w:rsidR="00EA08D5">
              <w:rPr>
                <w:rStyle w:val="Hyperlink"/>
                <w:noProof/>
                <w:szCs w:val="20"/>
                <w:lang w:val="sr-Cyrl-RS"/>
              </w:rPr>
              <w:t xml:space="preserve">ОЛИЈА </w:t>
            </w:r>
            <w:r w:rsidR="001538EF" w:rsidRPr="005767EF">
              <w:rPr>
                <w:rStyle w:val="Hyperlink"/>
                <w:noProof/>
                <w:szCs w:val="20"/>
              </w:rPr>
              <w:t xml:space="preserve"> ФИНАНСИЈСКИХ ПОСРЕДНИКА</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_Toc135292170 \h </w:instrText>
            </w:r>
            <w:r w:rsidR="001538EF" w:rsidRPr="005767EF">
              <w:rPr>
                <w:noProof/>
                <w:webHidden/>
              </w:rPr>
            </w:r>
            <w:r w:rsidR="001538EF" w:rsidRPr="005767EF">
              <w:rPr>
                <w:noProof/>
                <w:webHidden/>
              </w:rPr>
              <w:fldChar w:fldCharType="separate"/>
            </w:r>
            <w:r w:rsidR="006A433D">
              <w:rPr>
                <w:noProof/>
                <w:webHidden/>
              </w:rPr>
              <w:t>1</w:t>
            </w:r>
            <w:r w:rsidR="001538EF" w:rsidRPr="005767EF">
              <w:rPr>
                <w:noProof/>
                <w:webHidden/>
              </w:rPr>
              <w:fldChar w:fldCharType="end"/>
            </w:r>
          </w:hyperlink>
          <w:r w:rsidR="00BE15F9">
            <w:rPr>
              <w:noProof/>
              <w:lang w:val="sr-Cyrl-RS"/>
            </w:rPr>
            <w:t>1</w:t>
          </w:r>
        </w:p>
        <w:p w14:paraId="338FEA9E" w14:textId="77777777" w:rsidR="001538EF" w:rsidRPr="00EA08D5" w:rsidRDefault="00EA08D5" w:rsidP="00BC5934">
          <w:pPr>
            <w:pStyle w:val="TOC2"/>
            <w:rPr>
              <w:rFonts w:eastAsiaTheme="minorEastAsia"/>
              <w:noProof/>
              <w:color w:val="auto"/>
              <w:lang w:val="sr-Cyrl-RS" w:eastAsia="sr-Latn-RS"/>
            </w:rPr>
          </w:pPr>
          <w:r>
            <w:rPr>
              <w:lang w:val="sr-Cyrl-RS"/>
            </w:rPr>
            <w:t xml:space="preserve">  </w:t>
          </w:r>
          <w:hyperlink w:anchor="_Toc135292171" w:history="1">
            <w:r w:rsidR="005D0BE8">
              <w:rPr>
                <w:rStyle w:val="Hyperlink"/>
                <w:noProof/>
                <w:szCs w:val="20"/>
              </w:rPr>
              <w:t>2</w:t>
            </w:r>
            <w:r w:rsidR="001538EF" w:rsidRPr="005767EF">
              <w:rPr>
                <w:rStyle w:val="Hyperlink"/>
                <w:noProof/>
                <w:szCs w:val="20"/>
              </w:rPr>
              <w:t>.3</w:t>
            </w:r>
            <w:r w:rsidR="001538EF" w:rsidRPr="005767EF">
              <w:rPr>
                <w:rFonts w:eastAsiaTheme="minorEastAsia"/>
                <w:noProof/>
                <w:color w:val="auto"/>
                <w:lang w:val="sr-Latn-RS" w:eastAsia="sr-Latn-RS"/>
              </w:rPr>
              <w:tab/>
            </w:r>
            <w:r w:rsidRPr="00EA08D5">
              <w:rPr>
                <w:rFonts w:eastAsiaTheme="minorEastAsia"/>
                <w:noProof/>
                <w:color w:val="auto"/>
                <w:lang w:val="sr-Latn-RS" w:eastAsia="sr-Latn-RS"/>
              </w:rPr>
              <w:t xml:space="preserve">АНАЛИЗА  ИЗДАНИХ </w:t>
            </w:r>
            <w:r>
              <w:rPr>
                <w:rFonts w:eastAsiaTheme="minorEastAsia"/>
                <w:noProof/>
                <w:color w:val="auto"/>
                <w:lang w:val="sr-Cyrl-RS" w:eastAsia="sr-Latn-RS"/>
              </w:rPr>
              <w:t>ГАРАНЦИЈА</w:t>
            </w:r>
          </w:hyperlink>
          <w:r>
            <w:rPr>
              <w:noProof/>
              <w:lang w:val="sr-Cyrl-RS"/>
            </w:rPr>
            <w:t xml:space="preserve"> НА ЕМИТОВАНЕ ХАРТИЈЕ ОД ВРИЈЕДНОСТИ....................</w:t>
          </w:r>
          <w:r w:rsidR="002E7B50">
            <w:rPr>
              <w:noProof/>
              <w:lang w:val="sr-Cyrl-RS"/>
            </w:rPr>
            <w:t>.....</w:t>
          </w:r>
          <w:r>
            <w:rPr>
              <w:noProof/>
              <w:lang w:val="sr-Cyrl-RS"/>
            </w:rPr>
            <w:t>.....16</w:t>
          </w:r>
        </w:p>
        <w:p w14:paraId="33288019" w14:textId="2211AE93" w:rsidR="001538EF" w:rsidRPr="005767EF" w:rsidRDefault="00EA08D5" w:rsidP="00BC5934">
          <w:pPr>
            <w:pStyle w:val="TOC2"/>
            <w:rPr>
              <w:rFonts w:eastAsiaTheme="minorEastAsia"/>
              <w:noProof/>
              <w:color w:val="auto"/>
              <w:lang w:val="sr-Latn-RS" w:eastAsia="sr-Latn-RS"/>
            </w:rPr>
          </w:pPr>
          <w:r>
            <w:rPr>
              <w:lang w:val="sr-Cyrl-RS"/>
            </w:rPr>
            <w:t xml:space="preserve">  </w:t>
          </w:r>
          <w:hyperlink w:anchor="_Toc135292172" w:history="1">
            <w:r w:rsidR="005D0BE8">
              <w:rPr>
                <w:rStyle w:val="Hyperlink"/>
                <w:noProof/>
                <w:szCs w:val="20"/>
              </w:rPr>
              <w:t>2</w:t>
            </w:r>
            <w:r w:rsidR="001538EF" w:rsidRPr="005767EF">
              <w:rPr>
                <w:rStyle w:val="Hyperlink"/>
                <w:noProof/>
                <w:szCs w:val="20"/>
              </w:rPr>
              <w:t>.4</w:t>
            </w:r>
            <w:r w:rsidR="001538EF" w:rsidRPr="005767EF">
              <w:rPr>
                <w:rFonts w:eastAsiaTheme="minorEastAsia"/>
                <w:noProof/>
                <w:color w:val="auto"/>
                <w:lang w:val="sr-Latn-RS" w:eastAsia="sr-Latn-RS"/>
              </w:rPr>
              <w:tab/>
            </w:r>
          </w:hyperlink>
          <w:r w:rsidRPr="00EA08D5">
            <w:rPr>
              <w:noProof/>
            </w:rPr>
            <w:t>АНАЛИЗА ИЗЛОЖЕНОСТИ ГАРАНТНОГ ФОНДА РЕПУБЛИКЕ СРПСКЕ ПРЕМА ФИНАНСИЈСКИМ ПОСРЕДНИЦИМА НА ДАН 31.12.2023.</w:t>
          </w:r>
          <w:r w:rsidRPr="00EA08D5">
            <w:rPr>
              <w:noProof/>
              <w:webHidden/>
            </w:rPr>
            <w:tab/>
          </w:r>
          <w:r w:rsidRPr="00EA08D5">
            <w:rPr>
              <w:noProof/>
              <w:webHidden/>
            </w:rPr>
            <w:fldChar w:fldCharType="begin"/>
          </w:r>
          <w:r w:rsidRPr="00EA08D5">
            <w:rPr>
              <w:noProof/>
              <w:webHidden/>
            </w:rPr>
            <w:instrText xml:space="preserve"> PAGEREF _Toc135292171 \h </w:instrText>
          </w:r>
          <w:r w:rsidRPr="00EA08D5">
            <w:rPr>
              <w:noProof/>
              <w:webHidden/>
            </w:rPr>
          </w:r>
          <w:r w:rsidRPr="00EA08D5">
            <w:rPr>
              <w:noProof/>
              <w:webHidden/>
            </w:rPr>
            <w:fldChar w:fldCharType="separate"/>
          </w:r>
          <w:r w:rsidR="006A433D">
            <w:rPr>
              <w:noProof/>
              <w:webHidden/>
            </w:rPr>
            <w:t>17</w:t>
          </w:r>
          <w:r w:rsidRPr="00EA08D5">
            <w:rPr>
              <w:noProof/>
              <w:webHidden/>
            </w:rPr>
            <w:fldChar w:fldCharType="end"/>
          </w:r>
        </w:p>
        <w:p w14:paraId="33C70A9C" w14:textId="41A80C68" w:rsidR="001538EF" w:rsidRPr="005767EF" w:rsidRDefault="00BC5934" w:rsidP="00BC5934">
          <w:pPr>
            <w:pStyle w:val="TOC2"/>
            <w:rPr>
              <w:rFonts w:eastAsiaTheme="minorEastAsia"/>
              <w:noProof/>
              <w:color w:val="auto"/>
              <w:lang w:val="sr-Latn-RS" w:eastAsia="sr-Latn-RS"/>
            </w:rPr>
          </w:pPr>
          <w:r>
            <w:rPr>
              <w:lang w:val="sr-Cyrl-RS"/>
            </w:rPr>
            <w:t xml:space="preserve">  </w:t>
          </w:r>
          <w:hyperlink w:anchor="_Toc135292173" w:history="1">
            <w:r w:rsidR="005D0BE8">
              <w:rPr>
                <w:rStyle w:val="Hyperlink"/>
                <w:caps/>
                <w:noProof/>
                <w:szCs w:val="20"/>
                <w:lang w:val="sr-Latn-RS" w:eastAsia="en-US"/>
              </w:rPr>
              <w:t>2</w:t>
            </w:r>
            <w:r w:rsidR="001538EF" w:rsidRPr="005767EF">
              <w:rPr>
                <w:rStyle w:val="Hyperlink"/>
                <w:caps/>
                <w:noProof/>
                <w:szCs w:val="20"/>
                <w:lang w:val="sr-Latn-RS" w:eastAsia="en-US"/>
              </w:rPr>
              <w:t>.5</w:t>
            </w:r>
            <w:r w:rsidR="001538EF" w:rsidRPr="005767EF">
              <w:rPr>
                <w:rFonts w:eastAsiaTheme="minorEastAsia"/>
                <w:noProof/>
                <w:color w:val="auto"/>
                <w:lang w:val="sr-Latn-RS" w:eastAsia="sr-Latn-RS"/>
              </w:rPr>
              <w:tab/>
            </w:r>
            <w:r>
              <w:rPr>
                <w:rFonts w:eastAsiaTheme="minorEastAsia"/>
                <w:noProof/>
                <w:color w:val="auto"/>
                <w:lang w:val="sr-Cyrl-RS" w:eastAsia="sr-Latn-RS"/>
              </w:rPr>
              <w:t xml:space="preserve"> </w:t>
            </w:r>
            <w:r w:rsidR="001538EF" w:rsidRPr="005767EF">
              <w:rPr>
                <w:rStyle w:val="Hyperlink"/>
                <w:caps/>
                <w:noProof/>
                <w:szCs w:val="20"/>
              </w:rPr>
              <w:t xml:space="preserve">анализа изданих гаранција из </w:t>
            </w:r>
            <w:r>
              <w:rPr>
                <w:rStyle w:val="Hyperlink"/>
                <w:caps/>
                <w:noProof/>
                <w:szCs w:val="20"/>
                <w:lang w:val="sr-Cyrl-RS"/>
              </w:rPr>
              <w:t xml:space="preserve">ГАРАНТНОГ </w:t>
            </w:r>
            <w:r w:rsidR="001538EF" w:rsidRPr="005767EF">
              <w:rPr>
                <w:rStyle w:val="Hyperlink"/>
                <w:caps/>
                <w:noProof/>
                <w:szCs w:val="20"/>
              </w:rPr>
              <w:t xml:space="preserve">програма </w:t>
            </w:r>
            <w:r w:rsidR="001538EF" w:rsidRPr="005767EF">
              <w:rPr>
                <w:rStyle w:val="Hyperlink"/>
                <w:caps/>
                <w:noProof/>
                <w:szCs w:val="20"/>
                <w:lang w:val="sr-Cyrl-BA"/>
              </w:rPr>
              <w:t>COVID-19 на дан 31.12.202</w:t>
            </w:r>
            <w:r w:rsidR="007339B5" w:rsidRPr="005767EF">
              <w:rPr>
                <w:rStyle w:val="Hyperlink"/>
                <w:caps/>
                <w:noProof/>
                <w:szCs w:val="20"/>
              </w:rPr>
              <w:t>3</w:t>
            </w:r>
            <w:r w:rsidR="001538EF" w:rsidRPr="005767EF">
              <w:rPr>
                <w:rStyle w:val="Hyperlink"/>
                <w:caps/>
                <w:noProof/>
                <w:szCs w:val="20"/>
                <w:lang w:val="sr-Cyrl-BA"/>
              </w:rPr>
              <w:t>. године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_Toc135292173 \h </w:instrText>
            </w:r>
            <w:r w:rsidR="001538EF" w:rsidRPr="005767EF">
              <w:rPr>
                <w:noProof/>
                <w:webHidden/>
              </w:rPr>
            </w:r>
            <w:r w:rsidR="001538EF" w:rsidRPr="005767EF">
              <w:rPr>
                <w:noProof/>
                <w:webHidden/>
              </w:rPr>
              <w:fldChar w:fldCharType="separate"/>
            </w:r>
            <w:r w:rsidR="006A433D">
              <w:rPr>
                <w:noProof/>
                <w:webHidden/>
              </w:rPr>
              <w:t>19</w:t>
            </w:r>
            <w:r w:rsidR="001538EF" w:rsidRPr="005767EF">
              <w:rPr>
                <w:noProof/>
                <w:webHidden/>
              </w:rPr>
              <w:fldChar w:fldCharType="end"/>
            </w:r>
          </w:hyperlink>
        </w:p>
        <w:p w14:paraId="75EEE01B" w14:textId="3C7BBE8F" w:rsidR="001538EF" w:rsidRPr="005767EF" w:rsidRDefault="00F823E7" w:rsidP="005D0BE8">
          <w:pPr>
            <w:pStyle w:val="TOC1"/>
            <w:tabs>
              <w:tab w:val="left" w:pos="426"/>
              <w:tab w:val="left" w:pos="709"/>
            </w:tabs>
            <w:rPr>
              <w:rFonts w:eastAsiaTheme="minorEastAsia"/>
              <w:noProof/>
              <w:color w:val="auto"/>
              <w:lang w:val="sr-Latn-RS" w:eastAsia="sr-Latn-RS"/>
            </w:rPr>
          </w:pPr>
          <w:hyperlink w:anchor="_Toc135292174" w:history="1">
            <w:r w:rsidR="005D0BE8">
              <w:rPr>
                <w:rStyle w:val="Hyperlink"/>
                <w:noProof/>
                <w:szCs w:val="20"/>
              </w:rPr>
              <w:t>3</w:t>
            </w:r>
            <w:r w:rsidR="001538EF" w:rsidRPr="005767EF">
              <w:rPr>
                <w:rFonts w:eastAsiaTheme="minorEastAsia"/>
                <w:noProof/>
                <w:color w:val="auto"/>
                <w:lang w:val="sr-Latn-RS" w:eastAsia="sr-Latn-RS"/>
              </w:rPr>
              <w:tab/>
            </w:r>
            <w:r w:rsidR="005D0BE8">
              <w:rPr>
                <w:rFonts w:eastAsiaTheme="minorEastAsia"/>
                <w:noProof/>
                <w:color w:val="auto"/>
                <w:lang w:val="sr-Cyrl-RS" w:eastAsia="sr-Latn-RS"/>
              </w:rPr>
              <w:t xml:space="preserve"> </w:t>
            </w:r>
            <w:r w:rsidR="001538EF" w:rsidRPr="005767EF">
              <w:rPr>
                <w:rStyle w:val="Hyperlink"/>
                <w:noProof/>
                <w:szCs w:val="20"/>
              </w:rPr>
              <w:t xml:space="preserve">АНАЛИЗА </w:t>
            </w:r>
            <w:r w:rsidR="001538EF" w:rsidRPr="005767EF">
              <w:rPr>
                <w:rStyle w:val="Hyperlink"/>
                <w:noProof/>
                <w:szCs w:val="20"/>
                <w:lang w:val="sr-Cyrl-BA"/>
              </w:rPr>
              <w:t xml:space="preserve">ФИНАНСИЈСКОГ </w:t>
            </w:r>
            <w:r w:rsidR="002E7B50">
              <w:rPr>
                <w:rStyle w:val="Hyperlink"/>
                <w:noProof/>
                <w:szCs w:val="20"/>
                <w:lang w:val="sr-Cyrl-BA"/>
              </w:rPr>
              <w:t>РЕЗУЛТАТ</w:t>
            </w:r>
            <w:r w:rsidR="00BC5934">
              <w:rPr>
                <w:rStyle w:val="Hyperlink"/>
                <w:noProof/>
                <w:szCs w:val="20"/>
                <w:lang w:val="sr-Cyrl-BA"/>
              </w:rPr>
              <w:t>А</w:t>
            </w:r>
            <w:r w:rsidR="005D0BE8">
              <w:rPr>
                <w:rStyle w:val="Hyperlink"/>
                <w:noProof/>
                <w:szCs w:val="20"/>
              </w:rPr>
              <w:t xml:space="preserve"> </w:t>
            </w:r>
            <w:r w:rsidR="005D0BE8">
              <w:rPr>
                <w:rStyle w:val="Hyperlink"/>
                <w:noProof/>
                <w:szCs w:val="20"/>
                <w:lang w:val="sr-Cyrl-RS"/>
              </w:rPr>
              <w:t>У</w:t>
            </w:r>
            <w:r w:rsidR="001538EF" w:rsidRPr="005767EF">
              <w:rPr>
                <w:rStyle w:val="Hyperlink"/>
                <w:noProof/>
                <w:szCs w:val="20"/>
              </w:rPr>
              <w:t xml:space="preserve"> 202</w:t>
            </w:r>
            <w:r w:rsidR="007339B5" w:rsidRPr="005767EF">
              <w:rPr>
                <w:rStyle w:val="Hyperlink"/>
                <w:noProof/>
                <w:szCs w:val="20"/>
              </w:rPr>
              <w:t>3</w:t>
            </w:r>
            <w:r w:rsidR="001538EF" w:rsidRPr="005767EF">
              <w:rPr>
                <w:rStyle w:val="Hyperlink"/>
                <w:noProof/>
                <w:szCs w:val="20"/>
              </w:rPr>
              <w:t>.</w:t>
            </w:r>
            <w:r w:rsidR="007339B5" w:rsidRPr="005767EF">
              <w:rPr>
                <w:rStyle w:val="Hyperlink"/>
                <w:noProof/>
                <w:szCs w:val="20"/>
              </w:rPr>
              <w:t xml:space="preserve"> </w:t>
            </w:r>
            <w:r w:rsidR="005D0BE8">
              <w:rPr>
                <w:rStyle w:val="Hyperlink"/>
                <w:noProof/>
                <w:szCs w:val="20"/>
              </w:rPr>
              <w:t>ГОДИН</w:t>
            </w:r>
            <w:r w:rsidR="005D0BE8">
              <w:rPr>
                <w:rStyle w:val="Hyperlink"/>
                <w:noProof/>
                <w:szCs w:val="20"/>
                <w:lang w:val="sr-Cyrl-RS"/>
              </w:rPr>
              <w:t>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_Toc135292174 \h </w:instrText>
            </w:r>
            <w:r w:rsidR="001538EF" w:rsidRPr="005767EF">
              <w:rPr>
                <w:noProof/>
                <w:webHidden/>
              </w:rPr>
            </w:r>
            <w:r w:rsidR="001538EF" w:rsidRPr="005767EF">
              <w:rPr>
                <w:noProof/>
                <w:webHidden/>
              </w:rPr>
              <w:fldChar w:fldCharType="separate"/>
            </w:r>
            <w:r w:rsidR="006A433D">
              <w:rPr>
                <w:noProof/>
                <w:webHidden/>
              </w:rPr>
              <w:t>22</w:t>
            </w:r>
            <w:r w:rsidR="001538EF" w:rsidRPr="005767EF">
              <w:rPr>
                <w:noProof/>
                <w:webHidden/>
              </w:rPr>
              <w:fldChar w:fldCharType="end"/>
            </w:r>
          </w:hyperlink>
        </w:p>
        <w:p w14:paraId="6818590D" w14:textId="25CB24C0" w:rsidR="001538EF" w:rsidRPr="005767EF" w:rsidRDefault="005D0BE8" w:rsidP="00BC5934">
          <w:pPr>
            <w:pStyle w:val="TOC2"/>
            <w:rPr>
              <w:rFonts w:eastAsiaTheme="minorEastAsia"/>
              <w:noProof/>
              <w:color w:val="auto"/>
              <w:lang w:val="sr-Latn-RS" w:eastAsia="sr-Latn-RS"/>
            </w:rPr>
          </w:pPr>
          <w:r>
            <w:rPr>
              <w:lang w:val="sr-Cyrl-RS"/>
            </w:rPr>
            <w:t xml:space="preserve">   </w:t>
          </w:r>
          <w:hyperlink w:anchor="_Toc135292175" w:history="1">
            <w:r>
              <w:rPr>
                <w:rStyle w:val="Hyperlink"/>
                <w:noProof/>
                <w:szCs w:val="20"/>
              </w:rPr>
              <w:t>3</w:t>
            </w:r>
            <w:r w:rsidR="001538EF" w:rsidRPr="005767EF">
              <w:rPr>
                <w:rStyle w:val="Hyperlink"/>
                <w:noProof/>
                <w:szCs w:val="20"/>
              </w:rPr>
              <w:t>.1</w:t>
            </w:r>
            <w:r w:rsidR="001538EF" w:rsidRPr="005767EF">
              <w:rPr>
                <w:rFonts w:eastAsiaTheme="minorEastAsia"/>
                <w:noProof/>
                <w:color w:val="auto"/>
                <w:lang w:val="sr-Latn-RS" w:eastAsia="sr-Latn-RS"/>
              </w:rPr>
              <w:tab/>
            </w:r>
            <w:r>
              <w:rPr>
                <w:rStyle w:val="Hyperlink"/>
                <w:noProof/>
                <w:szCs w:val="20"/>
              </w:rPr>
              <w:t xml:space="preserve">АНАЛИЗА ОСТВАРЕНИХ ПРИХОДА </w:t>
            </w:r>
            <w:r>
              <w:rPr>
                <w:rStyle w:val="Hyperlink"/>
                <w:noProof/>
                <w:szCs w:val="20"/>
                <w:lang w:val="sr-Cyrl-RS"/>
              </w:rPr>
              <w:t>У</w:t>
            </w:r>
            <w:r w:rsidR="001538EF" w:rsidRPr="005767EF">
              <w:rPr>
                <w:rStyle w:val="Hyperlink"/>
                <w:noProof/>
                <w:szCs w:val="20"/>
              </w:rPr>
              <w:t xml:space="preserve"> 202</w:t>
            </w:r>
            <w:r w:rsidR="007339B5" w:rsidRPr="005767EF">
              <w:rPr>
                <w:rStyle w:val="Hyperlink"/>
                <w:noProof/>
                <w:szCs w:val="20"/>
              </w:rPr>
              <w:t>3</w:t>
            </w:r>
            <w:r>
              <w:rPr>
                <w:rStyle w:val="Hyperlink"/>
                <w:noProof/>
                <w:szCs w:val="20"/>
              </w:rPr>
              <w:t>.ГОДИН</w:t>
            </w:r>
            <w:r>
              <w:rPr>
                <w:rStyle w:val="Hyperlink"/>
                <w:noProof/>
                <w:szCs w:val="20"/>
                <w:lang w:val="sr-Cyrl-RS"/>
              </w:rPr>
              <w:t>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_Toc135292175 \h </w:instrText>
            </w:r>
            <w:r w:rsidR="001538EF" w:rsidRPr="005767EF">
              <w:rPr>
                <w:noProof/>
                <w:webHidden/>
              </w:rPr>
            </w:r>
            <w:r w:rsidR="001538EF" w:rsidRPr="005767EF">
              <w:rPr>
                <w:noProof/>
                <w:webHidden/>
              </w:rPr>
              <w:fldChar w:fldCharType="separate"/>
            </w:r>
            <w:r w:rsidR="006A433D">
              <w:rPr>
                <w:noProof/>
                <w:webHidden/>
              </w:rPr>
              <w:t>22</w:t>
            </w:r>
            <w:r w:rsidR="001538EF" w:rsidRPr="005767EF">
              <w:rPr>
                <w:noProof/>
                <w:webHidden/>
              </w:rPr>
              <w:fldChar w:fldCharType="end"/>
            </w:r>
          </w:hyperlink>
        </w:p>
        <w:p w14:paraId="091D41A2" w14:textId="24382FD9" w:rsidR="001538EF" w:rsidRPr="005767EF" w:rsidRDefault="005D0BE8" w:rsidP="00BC5934">
          <w:pPr>
            <w:pStyle w:val="TOC2"/>
            <w:rPr>
              <w:rFonts w:eastAsiaTheme="minorEastAsia"/>
              <w:noProof/>
              <w:color w:val="auto"/>
              <w:lang w:val="sr-Latn-RS" w:eastAsia="sr-Latn-RS"/>
            </w:rPr>
          </w:pPr>
          <w:r>
            <w:rPr>
              <w:lang w:val="sr-Cyrl-RS"/>
            </w:rPr>
            <w:t xml:space="preserve">   </w:t>
          </w:r>
          <w:hyperlink w:anchor="_Toc135292176" w:history="1">
            <w:r>
              <w:rPr>
                <w:rStyle w:val="Hyperlink"/>
                <w:noProof/>
                <w:szCs w:val="20"/>
              </w:rPr>
              <w:t>3</w:t>
            </w:r>
            <w:r w:rsidR="001538EF" w:rsidRPr="005767EF">
              <w:rPr>
                <w:rStyle w:val="Hyperlink"/>
                <w:noProof/>
                <w:szCs w:val="20"/>
              </w:rPr>
              <w:t>.2</w:t>
            </w:r>
            <w:r w:rsidR="001538EF" w:rsidRPr="005767EF">
              <w:rPr>
                <w:rFonts w:eastAsiaTheme="minorEastAsia"/>
                <w:noProof/>
                <w:color w:val="auto"/>
                <w:lang w:val="sr-Latn-RS" w:eastAsia="sr-Latn-RS"/>
              </w:rPr>
              <w:tab/>
            </w:r>
            <w:r w:rsidR="001538EF" w:rsidRPr="005767EF">
              <w:rPr>
                <w:rStyle w:val="Hyperlink"/>
                <w:noProof/>
                <w:szCs w:val="20"/>
              </w:rPr>
              <w:t>АНАЛИЗА</w:t>
            </w:r>
            <w:r w:rsidR="002E7B50">
              <w:rPr>
                <w:rStyle w:val="Hyperlink"/>
                <w:noProof/>
                <w:szCs w:val="20"/>
              </w:rPr>
              <w:t xml:space="preserve"> ОСТВАРЕНИХ РАСХОДА</w:t>
            </w:r>
            <w:r>
              <w:rPr>
                <w:rStyle w:val="Hyperlink"/>
                <w:noProof/>
                <w:szCs w:val="20"/>
              </w:rPr>
              <w:t xml:space="preserve"> </w:t>
            </w:r>
            <w:r>
              <w:rPr>
                <w:rStyle w:val="Hyperlink"/>
                <w:noProof/>
                <w:szCs w:val="20"/>
                <w:lang w:val="sr-Cyrl-RS"/>
              </w:rPr>
              <w:t>У</w:t>
            </w:r>
            <w:r w:rsidR="001538EF" w:rsidRPr="005767EF">
              <w:rPr>
                <w:rStyle w:val="Hyperlink"/>
                <w:noProof/>
                <w:szCs w:val="20"/>
              </w:rPr>
              <w:t xml:space="preserve"> 202</w:t>
            </w:r>
            <w:r w:rsidR="007339B5" w:rsidRPr="005767EF">
              <w:rPr>
                <w:rStyle w:val="Hyperlink"/>
                <w:noProof/>
                <w:szCs w:val="20"/>
              </w:rPr>
              <w:t>3</w:t>
            </w:r>
            <w:r w:rsidR="001538EF" w:rsidRPr="005767EF">
              <w:rPr>
                <w:rStyle w:val="Hyperlink"/>
                <w:noProof/>
                <w:szCs w:val="20"/>
              </w:rPr>
              <w:t xml:space="preserve">. </w:t>
            </w:r>
            <w:r>
              <w:rPr>
                <w:rStyle w:val="Hyperlink"/>
                <w:noProof/>
                <w:szCs w:val="20"/>
              </w:rPr>
              <w:t>ГОДИ</w:t>
            </w:r>
            <w:r>
              <w:rPr>
                <w:rStyle w:val="Hyperlink"/>
                <w:noProof/>
                <w:szCs w:val="20"/>
                <w:lang w:val="sr-Cyrl-RS"/>
              </w:rPr>
              <w:t>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_Toc135292176 \h </w:instrText>
            </w:r>
            <w:r w:rsidR="001538EF" w:rsidRPr="005767EF">
              <w:rPr>
                <w:noProof/>
                <w:webHidden/>
              </w:rPr>
            </w:r>
            <w:r w:rsidR="001538EF" w:rsidRPr="005767EF">
              <w:rPr>
                <w:noProof/>
                <w:webHidden/>
              </w:rPr>
              <w:fldChar w:fldCharType="separate"/>
            </w:r>
            <w:r w:rsidR="006A433D">
              <w:rPr>
                <w:noProof/>
                <w:webHidden/>
              </w:rPr>
              <w:t>23</w:t>
            </w:r>
            <w:r w:rsidR="001538EF" w:rsidRPr="005767EF">
              <w:rPr>
                <w:noProof/>
                <w:webHidden/>
              </w:rPr>
              <w:fldChar w:fldCharType="end"/>
            </w:r>
          </w:hyperlink>
        </w:p>
        <w:p w14:paraId="426BABA2" w14:textId="2D46E021" w:rsidR="001538EF" w:rsidRPr="005767EF" w:rsidRDefault="005D0BE8" w:rsidP="00BC5934">
          <w:pPr>
            <w:pStyle w:val="TOC2"/>
            <w:rPr>
              <w:rFonts w:eastAsiaTheme="minorEastAsia"/>
              <w:noProof/>
              <w:color w:val="auto"/>
              <w:lang w:val="sr-Latn-RS" w:eastAsia="sr-Latn-RS"/>
            </w:rPr>
          </w:pPr>
          <w:r>
            <w:rPr>
              <w:lang w:val="sr-Cyrl-RS"/>
            </w:rPr>
            <w:t xml:space="preserve">   </w:t>
          </w:r>
          <w:hyperlink w:anchor="_Toc135292177" w:history="1">
            <w:r>
              <w:rPr>
                <w:rStyle w:val="Hyperlink"/>
                <w:noProof/>
                <w:szCs w:val="20"/>
              </w:rPr>
              <w:t>3</w:t>
            </w:r>
            <w:r w:rsidR="001538EF" w:rsidRPr="005767EF">
              <w:rPr>
                <w:rStyle w:val="Hyperlink"/>
                <w:noProof/>
                <w:szCs w:val="20"/>
              </w:rPr>
              <w:t>.3</w:t>
            </w:r>
            <w:r w:rsidR="001538EF" w:rsidRPr="005767EF">
              <w:rPr>
                <w:rFonts w:eastAsiaTheme="minorEastAsia"/>
                <w:noProof/>
                <w:color w:val="auto"/>
                <w:lang w:val="sr-Latn-RS" w:eastAsia="sr-Latn-RS"/>
              </w:rPr>
              <w:tab/>
            </w:r>
            <w:r w:rsidR="002E7B50">
              <w:rPr>
                <w:rStyle w:val="Hyperlink"/>
                <w:noProof/>
                <w:szCs w:val="20"/>
                <w:lang w:val="sr-Cyrl-BA"/>
              </w:rPr>
              <w:t>ОСТВАРЕНИ ФИНАНСИЈСКИ РЕЗУЛТАТ</w:t>
            </w:r>
            <w:r>
              <w:rPr>
                <w:rStyle w:val="Hyperlink"/>
                <w:noProof/>
                <w:szCs w:val="20"/>
                <w:lang w:val="sr-Cyrl-BA"/>
              </w:rPr>
              <w:t xml:space="preserve"> У</w:t>
            </w:r>
            <w:r w:rsidR="001538EF" w:rsidRPr="005767EF">
              <w:rPr>
                <w:rStyle w:val="Hyperlink"/>
                <w:noProof/>
                <w:szCs w:val="20"/>
                <w:lang w:val="sr-Cyrl-BA"/>
              </w:rPr>
              <w:t xml:space="preserve"> 202</w:t>
            </w:r>
            <w:r w:rsidR="007339B5" w:rsidRPr="005767EF">
              <w:rPr>
                <w:rStyle w:val="Hyperlink"/>
                <w:noProof/>
                <w:szCs w:val="20"/>
              </w:rPr>
              <w:t>3</w:t>
            </w:r>
            <w:r>
              <w:rPr>
                <w:rStyle w:val="Hyperlink"/>
                <w:noProof/>
                <w:szCs w:val="20"/>
                <w:lang w:val="sr-Cyrl-BA"/>
              </w:rPr>
              <w:t>. 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_Toc135292177 \h </w:instrText>
            </w:r>
            <w:r w:rsidR="001538EF" w:rsidRPr="005767EF">
              <w:rPr>
                <w:noProof/>
                <w:webHidden/>
              </w:rPr>
            </w:r>
            <w:r w:rsidR="001538EF" w:rsidRPr="005767EF">
              <w:rPr>
                <w:noProof/>
                <w:webHidden/>
              </w:rPr>
              <w:fldChar w:fldCharType="separate"/>
            </w:r>
            <w:r w:rsidR="006A433D">
              <w:rPr>
                <w:noProof/>
                <w:webHidden/>
              </w:rPr>
              <w:t>28</w:t>
            </w:r>
            <w:r w:rsidR="001538EF" w:rsidRPr="005767EF">
              <w:rPr>
                <w:noProof/>
                <w:webHidden/>
              </w:rPr>
              <w:fldChar w:fldCharType="end"/>
            </w:r>
          </w:hyperlink>
        </w:p>
        <w:p w14:paraId="37A44024" w14:textId="77777777" w:rsidR="001538EF" w:rsidRPr="00C66305" w:rsidRDefault="005D0BE8" w:rsidP="00BC5934">
          <w:pPr>
            <w:pStyle w:val="TOC2"/>
            <w:rPr>
              <w:rFonts w:eastAsiaTheme="minorEastAsia"/>
              <w:noProof/>
              <w:color w:val="auto"/>
              <w:lang w:val="sr-Cyrl-RS" w:eastAsia="sr-Latn-RS"/>
            </w:rPr>
          </w:pPr>
          <w:r>
            <w:rPr>
              <w:lang w:val="sr-Cyrl-RS"/>
            </w:rPr>
            <w:t xml:space="preserve">   </w:t>
          </w:r>
          <w:hyperlink w:anchor="_Toc135292178" w:history="1">
            <w:r>
              <w:rPr>
                <w:rStyle w:val="Hyperlink"/>
                <w:noProof/>
                <w:szCs w:val="20"/>
              </w:rPr>
              <w:t>3</w:t>
            </w:r>
            <w:r w:rsidR="001538EF" w:rsidRPr="005767EF">
              <w:rPr>
                <w:rStyle w:val="Hyperlink"/>
                <w:noProof/>
                <w:szCs w:val="20"/>
                <w:lang w:val="sr-Cyrl-BA"/>
              </w:rPr>
              <w:t>.4</w:t>
            </w:r>
            <w:r w:rsidR="001538EF" w:rsidRPr="005767EF">
              <w:rPr>
                <w:rFonts w:eastAsiaTheme="minorEastAsia"/>
                <w:noProof/>
                <w:color w:val="auto"/>
                <w:lang w:val="sr-Latn-RS" w:eastAsia="sr-Latn-RS"/>
              </w:rPr>
              <w:tab/>
            </w:r>
            <w:r w:rsidR="001538EF" w:rsidRPr="005767EF">
              <w:rPr>
                <w:rStyle w:val="Hyperlink"/>
                <w:noProof/>
                <w:szCs w:val="20"/>
                <w:lang w:val="sr-Cyrl-BA"/>
              </w:rPr>
              <w:t>АНАЛИЗА БИЛАНСА СТАЊА НА ДАН 31.12.202</w:t>
            </w:r>
            <w:r w:rsidR="007339B5" w:rsidRPr="005767EF">
              <w:rPr>
                <w:rStyle w:val="Hyperlink"/>
                <w:noProof/>
                <w:szCs w:val="20"/>
              </w:rPr>
              <w:t>3</w:t>
            </w:r>
            <w:r w:rsidR="001538EF" w:rsidRPr="005767EF">
              <w:rPr>
                <w:rStyle w:val="Hyperlink"/>
                <w:noProof/>
                <w:szCs w:val="20"/>
                <w:lang w:val="sr-Cyrl-BA"/>
              </w:rPr>
              <w:t>. ГОДИНЕ</w:t>
            </w:r>
            <w:r w:rsidR="001538EF" w:rsidRPr="005767EF">
              <w:rPr>
                <w:noProof/>
                <w:webHidden/>
              </w:rPr>
              <w:tab/>
            </w:r>
            <w:r w:rsidR="00C66305">
              <w:rPr>
                <w:noProof/>
                <w:webHidden/>
                <w:lang w:val="sr-Cyrl-RS"/>
              </w:rPr>
              <w:t>30</w:t>
            </w:r>
          </w:hyperlink>
        </w:p>
        <w:p w14:paraId="333D7A33" w14:textId="14A2F780" w:rsidR="001538EF" w:rsidRPr="00424A91" w:rsidRDefault="005D0BE8" w:rsidP="00BC5934">
          <w:pPr>
            <w:pStyle w:val="TOC2"/>
            <w:rPr>
              <w:rFonts w:eastAsiaTheme="minorEastAsia"/>
              <w:noProof/>
              <w:color w:val="auto"/>
              <w:lang w:val="sr-Cyrl-RS" w:eastAsia="sr-Latn-RS"/>
            </w:rPr>
          </w:pPr>
          <w:r>
            <w:rPr>
              <w:lang w:val="sr-Cyrl-RS"/>
            </w:rPr>
            <w:t xml:space="preserve">   </w:t>
          </w:r>
          <w:hyperlink w:anchor="_Toc135292179" w:history="1">
            <w:r>
              <w:rPr>
                <w:rStyle w:val="Hyperlink"/>
                <w:noProof/>
                <w:szCs w:val="20"/>
              </w:rPr>
              <w:t>3</w:t>
            </w:r>
            <w:r w:rsidR="001538EF" w:rsidRPr="005767EF">
              <w:rPr>
                <w:rStyle w:val="Hyperlink"/>
                <w:noProof/>
                <w:szCs w:val="20"/>
              </w:rPr>
              <w:t>.5</w:t>
            </w:r>
            <w:r w:rsidR="001538EF" w:rsidRPr="005767EF">
              <w:rPr>
                <w:rFonts w:eastAsiaTheme="minorEastAsia"/>
                <w:noProof/>
                <w:color w:val="auto"/>
                <w:lang w:val="sr-Latn-RS" w:eastAsia="sr-Latn-RS"/>
              </w:rPr>
              <w:tab/>
            </w:r>
            <w:r w:rsidR="001538EF" w:rsidRPr="005767EF">
              <w:rPr>
                <w:rStyle w:val="Hyperlink"/>
                <w:noProof/>
                <w:szCs w:val="20"/>
              </w:rPr>
              <w:t>АНАЛИЗА  СЛОБОДНИХ НОВЧАНИХ СРЕДСТАВА ФОНДА НА ДАН 31.12.202</w:t>
            </w:r>
            <w:r w:rsidR="007339B5" w:rsidRPr="005767EF">
              <w:rPr>
                <w:rStyle w:val="Hyperlink"/>
                <w:noProof/>
                <w:szCs w:val="20"/>
              </w:rPr>
              <w:t>3</w:t>
            </w:r>
            <w:r w:rsidR="001538EF" w:rsidRPr="005767EF">
              <w:rPr>
                <w:rStyle w:val="Hyperlink"/>
                <w:noProof/>
                <w:szCs w:val="20"/>
              </w:rPr>
              <w:t>. ГОДИНЕ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_Toc135292179 \h </w:instrText>
            </w:r>
            <w:r w:rsidR="001538EF" w:rsidRPr="005767EF">
              <w:rPr>
                <w:noProof/>
                <w:webHidden/>
              </w:rPr>
            </w:r>
            <w:r w:rsidR="001538EF" w:rsidRPr="005767EF">
              <w:rPr>
                <w:noProof/>
                <w:webHidden/>
              </w:rPr>
              <w:fldChar w:fldCharType="separate"/>
            </w:r>
            <w:r w:rsidR="006A433D">
              <w:rPr>
                <w:noProof/>
                <w:webHidden/>
              </w:rPr>
              <w:t>32</w:t>
            </w:r>
            <w:r w:rsidR="001538EF" w:rsidRPr="005767EF">
              <w:rPr>
                <w:noProof/>
                <w:webHidden/>
              </w:rPr>
              <w:fldChar w:fldCharType="end"/>
            </w:r>
          </w:hyperlink>
        </w:p>
        <w:p w14:paraId="5885B730" w14:textId="015053E8" w:rsidR="001538EF" w:rsidRPr="00170349" w:rsidRDefault="00F823E7" w:rsidP="005D0BE8">
          <w:pPr>
            <w:pStyle w:val="TOC1"/>
            <w:tabs>
              <w:tab w:val="left" w:pos="426"/>
              <w:tab w:val="left" w:pos="709"/>
            </w:tabs>
            <w:rPr>
              <w:rFonts w:eastAsiaTheme="minorEastAsia"/>
              <w:noProof/>
              <w:color w:val="auto"/>
              <w:lang w:val="sr-Cyrl-RS" w:eastAsia="sr-Latn-RS"/>
            </w:rPr>
          </w:pPr>
          <w:hyperlink w:anchor="_Toc135292180" w:history="1">
            <w:r w:rsidR="005D0BE8">
              <w:rPr>
                <w:rStyle w:val="Hyperlink"/>
                <w:noProof/>
                <w:szCs w:val="20"/>
              </w:rPr>
              <w:t>4</w:t>
            </w:r>
            <w:r w:rsidR="001538EF" w:rsidRPr="005767EF">
              <w:rPr>
                <w:rFonts w:eastAsiaTheme="minorEastAsia"/>
                <w:noProof/>
                <w:color w:val="auto"/>
                <w:lang w:val="sr-Latn-RS" w:eastAsia="sr-Latn-RS"/>
              </w:rPr>
              <w:tab/>
            </w:r>
            <w:r w:rsidR="001538EF" w:rsidRPr="005767EF">
              <w:rPr>
                <w:rStyle w:val="Hyperlink"/>
                <w:noProof/>
                <w:szCs w:val="20"/>
              </w:rPr>
              <w:t>АНАЛИЗА</w:t>
            </w:r>
            <w:r w:rsidR="005D0BE8">
              <w:rPr>
                <w:rStyle w:val="Hyperlink"/>
                <w:noProof/>
                <w:szCs w:val="20"/>
              </w:rPr>
              <w:t xml:space="preserve"> ОСТВАРЕЊА ПЛАНА ИНВЕСТИЦИЈА </w:t>
            </w:r>
            <w:r w:rsidR="005D0BE8">
              <w:rPr>
                <w:rStyle w:val="Hyperlink"/>
                <w:noProof/>
                <w:szCs w:val="20"/>
                <w:lang w:val="sr-Cyrl-RS"/>
              </w:rPr>
              <w:t xml:space="preserve"> У </w:t>
            </w:r>
            <w:r w:rsidR="001538EF" w:rsidRPr="005767EF">
              <w:rPr>
                <w:rStyle w:val="Hyperlink"/>
                <w:noProof/>
                <w:szCs w:val="20"/>
              </w:rPr>
              <w:t>202</w:t>
            </w:r>
            <w:r w:rsidR="007339B5" w:rsidRPr="005767EF">
              <w:rPr>
                <w:rStyle w:val="Hyperlink"/>
                <w:noProof/>
                <w:szCs w:val="20"/>
              </w:rPr>
              <w:t>3</w:t>
            </w:r>
            <w:r w:rsidR="005D0BE8">
              <w:rPr>
                <w:rStyle w:val="Hyperlink"/>
                <w:noProof/>
                <w:szCs w:val="20"/>
              </w:rPr>
              <w:t>. ГОДИН</w:t>
            </w:r>
            <w:r w:rsidR="005D0BE8">
              <w:rPr>
                <w:rStyle w:val="Hyperlink"/>
                <w:noProof/>
                <w:szCs w:val="20"/>
                <w:lang w:val="sr-Cyrl-RS"/>
              </w:rPr>
              <w:t>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_Toc135292180 \h </w:instrText>
            </w:r>
            <w:r w:rsidR="001538EF" w:rsidRPr="005767EF">
              <w:rPr>
                <w:noProof/>
                <w:webHidden/>
              </w:rPr>
            </w:r>
            <w:r w:rsidR="001538EF" w:rsidRPr="005767EF">
              <w:rPr>
                <w:noProof/>
                <w:webHidden/>
              </w:rPr>
              <w:fldChar w:fldCharType="separate"/>
            </w:r>
            <w:r w:rsidR="006A433D">
              <w:rPr>
                <w:noProof/>
                <w:webHidden/>
              </w:rPr>
              <w:t>36</w:t>
            </w:r>
            <w:r w:rsidR="001538EF" w:rsidRPr="005767EF">
              <w:rPr>
                <w:noProof/>
                <w:webHidden/>
              </w:rPr>
              <w:fldChar w:fldCharType="end"/>
            </w:r>
          </w:hyperlink>
        </w:p>
        <w:p w14:paraId="1CD1A347" w14:textId="48F18F95" w:rsidR="001538EF" w:rsidRPr="005767EF" w:rsidRDefault="005D0BE8" w:rsidP="005D0BE8">
          <w:pPr>
            <w:pStyle w:val="TOC1"/>
            <w:tabs>
              <w:tab w:val="left" w:pos="426"/>
              <w:tab w:val="left" w:pos="709"/>
            </w:tabs>
            <w:rPr>
              <w:rFonts w:eastAsiaTheme="minorEastAsia"/>
              <w:noProof/>
              <w:color w:val="auto"/>
              <w:lang w:val="sr-Latn-RS" w:eastAsia="sr-Latn-RS"/>
            </w:rPr>
          </w:pPr>
          <w:r>
            <w:t xml:space="preserve">      </w:t>
          </w:r>
          <w:hyperlink w:anchor="_Toc135292181" w:history="1">
            <w:r w:rsidR="001538EF" w:rsidRPr="005767EF">
              <w:rPr>
                <w:rStyle w:val="Hyperlink"/>
                <w:noProof/>
                <w:szCs w:val="20"/>
                <w:lang w:val="sr-Cyrl-BA"/>
              </w:rPr>
              <w:t>ЗАКЉУЧАК</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_Toc135292181 \h </w:instrText>
            </w:r>
            <w:r w:rsidR="001538EF" w:rsidRPr="005767EF">
              <w:rPr>
                <w:noProof/>
                <w:webHidden/>
              </w:rPr>
            </w:r>
            <w:r w:rsidR="001538EF" w:rsidRPr="005767EF">
              <w:rPr>
                <w:noProof/>
                <w:webHidden/>
              </w:rPr>
              <w:fldChar w:fldCharType="separate"/>
            </w:r>
            <w:r w:rsidR="006A433D">
              <w:rPr>
                <w:noProof/>
                <w:webHidden/>
              </w:rPr>
              <w:t>37</w:t>
            </w:r>
            <w:r w:rsidR="001538EF" w:rsidRPr="005767EF">
              <w:rPr>
                <w:noProof/>
                <w:webHidden/>
              </w:rPr>
              <w:fldChar w:fldCharType="end"/>
            </w:r>
          </w:hyperlink>
        </w:p>
        <w:p w14:paraId="3171916B" w14:textId="77777777" w:rsidR="001538EF" w:rsidRPr="005767EF" w:rsidRDefault="001538EF" w:rsidP="005D0BE8">
          <w:pPr>
            <w:tabs>
              <w:tab w:val="left" w:pos="426"/>
              <w:tab w:val="left" w:pos="709"/>
            </w:tabs>
            <w:rPr>
              <w:rFonts w:asciiTheme="minorHAnsi" w:hAnsiTheme="minorHAnsi"/>
              <w:sz w:val="20"/>
              <w:szCs w:val="20"/>
            </w:rPr>
          </w:pPr>
          <w:r w:rsidRPr="005767EF">
            <w:rPr>
              <w:rFonts w:asciiTheme="minorHAnsi" w:hAnsiTheme="minorHAnsi"/>
              <w:b/>
              <w:sz w:val="20"/>
              <w:szCs w:val="20"/>
            </w:rPr>
            <w:fldChar w:fldCharType="end"/>
          </w:r>
        </w:p>
      </w:sdtContent>
    </w:sdt>
    <w:p w14:paraId="6CE4794E" w14:textId="77777777" w:rsidR="001538EF" w:rsidRPr="005767EF" w:rsidRDefault="001538EF" w:rsidP="001538EF">
      <w:pPr>
        <w:spacing w:after="200" w:line="276" w:lineRule="auto"/>
        <w:jc w:val="left"/>
        <w:rPr>
          <w:rFonts w:asciiTheme="minorHAnsi" w:hAnsiTheme="minorHAnsi"/>
          <w:sz w:val="20"/>
          <w:szCs w:val="20"/>
        </w:rPr>
      </w:pPr>
      <w:r w:rsidRPr="005767EF">
        <w:rPr>
          <w:rFonts w:asciiTheme="minorHAnsi" w:hAnsiTheme="minorHAnsi"/>
          <w:sz w:val="20"/>
          <w:szCs w:val="20"/>
        </w:rPr>
        <w:br w:type="page"/>
      </w:r>
    </w:p>
    <w:p w14:paraId="140E9176" w14:textId="77777777" w:rsidR="001538EF" w:rsidRPr="005767EF" w:rsidRDefault="001538EF" w:rsidP="001538EF">
      <w:pPr>
        <w:rPr>
          <w:rFonts w:asciiTheme="minorHAnsi" w:hAnsiTheme="minorHAnsi"/>
          <w:sz w:val="20"/>
          <w:szCs w:val="20"/>
        </w:rPr>
      </w:pPr>
    </w:p>
    <w:p w14:paraId="0DEF138B" w14:textId="77777777" w:rsidR="001538EF" w:rsidRPr="005767EF" w:rsidRDefault="001538EF" w:rsidP="005030FC">
      <w:pPr>
        <w:pStyle w:val="Heading1"/>
        <w:numPr>
          <w:ilvl w:val="0"/>
          <w:numId w:val="0"/>
        </w:numPr>
        <w:ind w:left="431"/>
        <w:jc w:val="center"/>
        <w:rPr>
          <w:rFonts w:asciiTheme="minorHAnsi" w:hAnsiTheme="minorHAnsi"/>
          <w:noProof/>
        </w:rPr>
      </w:pPr>
      <w:bookmarkStart w:id="0" w:name="_Toc514323445"/>
      <w:bookmarkStart w:id="1" w:name="_Toc135292166"/>
      <w:r w:rsidRPr="005767EF">
        <w:rPr>
          <w:rFonts w:asciiTheme="minorHAnsi" w:hAnsiTheme="minorHAnsi"/>
          <w:noProof/>
        </w:rPr>
        <w:t>УВОД</w:t>
      </w:r>
      <w:bookmarkEnd w:id="0"/>
      <w:bookmarkEnd w:id="1"/>
    </w:p>
    <w:p w14:paraId="27CD6D66" w14:textId="77777777" w:rsidR="001538EF" w:rsidRPr="005767EF" w:rsidRDefault="001538EF" w:rsidP="00FE0E1B">
      <w:pPr>
        <w:rPr>
          <w:rStyle w:val="tekst1"/>
          <w:rFonts w:asciiTheme="minorHAnsi" w:hAnsiTheme="minorHAnsi" w:cs="Times New Roman"/>
          <w:noProof/>
          <w:sz w:val="20"/>
          <w:szCs w:val="20"/>
          <w:lang w:val="sr-Cyrl-RS"/>
        </w:rPr>
      </w:pPr>
      <w:r w:rsidRPr="005767EF">
        <w:rPr>
          <w:rFonts w:asciiTheme="minorHAnsi" w:hAnsiTheme="minorHAnsi"/>
          <w:noProof/>
          <w:sz w:val="20"/>
          <w:szCs w:val="20"/>
          <w:lang w:val="sr-Cyrl-RS"/>
        </w:rPr>
        <w:t>Гарантни фонд Републике Српске а.д. Бања Лука (у даљем тексту: Фонд)</w:t>
      </w:r>
      <w:r w:rsidRPr="005767EF">
        <w:rPr>
          <w:rFonts w:asciiTheme="minorHAnsi" w:hAnsiTheme="minorHAnsi"/>
          <w:noProof/>
          <w:sz w:val="20"/>
          <w:szCs w:val="20"/>
        </w:rPr>
        <w:t xml:space="preserve"> j</w:t>
      </w:r>
      <w:r w:rsidRPr="005767EF">
        <w:rPr>
          <w:rFonts w:asciiTheme="minorHAnsi" w:hAnsiTheme="minorHAnsi"/>
          <w:noProof/>
          <w:sz w:val="20"/>
          <w:szCs w:val="20"/>
          <w:lang w:val="sr-Cyrl-RS"/>
        </w:rPr>
        <w:t>е</w:t>
      </w:r>
      <w:r w:rsidRPr="005767EF">
        <w:rPr>
          <w:rStyle w:val="tekst1"/>
          <w:rFonts w:asciiTheme="minorHAnsi" w:hAnsiTheme="minorHAnsi" w:cs="Times New Roman"/>
          <w:noProof/>
          <w:sz w:val="20"/>
          <w:szCs w:val="20"/>
          <w:lang w:val="sr-Cyrl-RS"/>
        </w:rPr>
        <w:t xml:space="preserve"> основан ради остваривања општег интереса који је изражен у пружању подршке развоју предузетништва кроз олакшавање приступа финансијским средствима потребним за обављање пословних дјелатности предузетника (правних и физичких лица) са сједиштем, односно пребивалиштем у Републици Српској.</w:t>
      </w:r>
    </w:p>
    <w:p w14:paraId="0EEABAD9" w14:textId="77777777" w:rsidR="00FE0E1B" w:rsidRDefault="00FE0E1B" w:rsidP="00FE0E1B">
      <w:pPr>
        <w:rPr>
          <w:rFonts w:asciiTheme="minorHAnsi" w:hAnsiTheme="minorHAnsi"/>
          <w:noProof/>
          <w:sz w:val="20"/>
          <w:szCs w:val="20"/>
          <w:lang w:val="sr-Cyrl-RS"/>
        </w:rPr>
      </w:pPr>
    </w:p>
    <w:p w14:paraId="5E0ED3AC" w14:textId="77777777" w:rsidR="001538EF" w:rsidRPr="005767EF" w:rsidRDefault="001538EF" w:rsidP="00FE0E1B">
      <w:pPr>
        <w:rPr>
          <w:rFonts w:asciiTheme="minorHAnsi" w:hAnsiTheme="minorHAnsi"/>
          <w:noProof/>
          <w:color w:val="FF0000"/>
          <w:sz w:val="20"/>
          <w:szCs w:val="20"/>
          <w:lang w:val="sr-Cyrl-RS"/>
        </w:rPr>
      </w:pPr>
      <w:r w:rsidRPr="005767EF">
        <w:rPr>
          <w:rFonts w:asciiTheme="minorHAnsi" w:hAnsiTheme="minorHAnsi"/>
          <w:noProof/>
          <w:sz w:val="20"/>
          <w:szCs w:val="20"/>
          <w:lang w:val="sr-Cyrl-RS"/>
        </w:rPr>
        <w:t xml:space="preserve">Фонд је основан Одлуком Владе Републике Српске </w:t>
      </w:r>
      <w:r w:rsidR="00EA08D5">
        <w:rPr>
          <w:rFonts w:asciiTheme="minorHAnsi" w:hAnsiTheme="minorHAnsi"/>
          <w:noProof/>
          <w:sz w:val="20"/>
          <w:szCs w:val="20"/>
          <w:lang w:val="sr-Cyrl-RS"/>
        </w:rPr>
        <w:t>у</w:t>
      </w:r>
      <w:r w:rsidRPr="005767EF">
        <w:rPr>
          <w:rFonts w:asciiTheme="minorHAnsi" w:hAnsiTheme="minorHAnsi"/>
          <w:noProof/>
          <w:sz w:val="20"/>
          <w:szCs w:val="20"/>
          <w:lang w:val="sr-Cyrl-RS"/>
        </w:rPr>
        <w:t xml:space="preserve"> </w:t>
      </w:r>
      <w:r w:rsidR="00EA08D5">
        <w:rPr>
          <w:rFonts w:asciiTheme="minorHAnsi" w:hAnsiTheme="minorHAnsi"/>
          <w:noProof/>
          <w:sz w:val="20"/>
          <w:szCs w:val="20"/>
          <w:lang w:val="sr-Cyrl-RS"/>
        </w:rPr>
        <w:t>јулу</w:t>
      </w:r>
      <w:r w:rsidRPr="005767EF">
        <w:rPr>
          <w:rFonts w:asciiTheme="minorHAnsi" w:hAnsiTheme="minorHAnsi"/>
          <w:noProof/>
          <w:sz w:val="20"/>
          <w:szCs w:val="20"/>
          <w:lang w:val="sr-Cyrl-RS"/>
        </w:rPr>
        <w:t xml:space="preserve"> 2010. године.  Правни статус Фонда, његова дјелатност, начин коришћења средстава и начин управљања Фондом, регулисан је Законом о Гарантном фонду Републике Српске („Службени гласник Републике Српске“, број 50/10) и </w:t>
      </w:r>
      <w:r w:rsidRPr="005767EF">
        <w:rPr>
          <w:rFonts w:asciiTheme="minorHAnsi" w:eastAsiaTheme="minorHAnsi" w:hAnsiTheme="minorHAnsi"/>
          <w:color w:val="auto"/>
          <w:sz w:val="20"/>
          <w:szCs w:val="20"/>
          <w:lang w:val="sr-Cyrl-RS" w:eastAsia="en-US"/>
        </w:rPr>
        <w:t>Законом о измјенама и допунама Закона о Гарантном фонду Републике Српске („Службени гласник РС“ број 107/2019)</w:t>
      </w:r>
      <w:r w:rsidRPr="005767EF">
        <w:rPr>
          <w:rFonts w:asciiTheme="minorHAnsi" w:hAnsiTheme="minorHAnsi"/>
          <w:noProof/>
          <w:sz w:val="20"/>
          <w:szCs w:val="20"/>
          <w:lang w:val="sr-Cyrl-RS"/>
        </w:rPr>
        <w:t xml:space="preserve">. </w:t>
      </w:r>
      <w:r w:rsidRPr="005767EF">
        <w:rPr>
          <w:rFonts w:asciiTheme="minorHAnsi" w:hAnsiTheme="minorHAnsi"/>
          <w:noProof/>
          <w:color w:val="000000" w:themeColor="text1"/>
          <w:sz w:val="20"/>
          <w:szCs w:val="20"/>
          <w:lang w:val="sr-Cyrl-RS"/>
        </w:rPr>
        <w:t>Обзиром да је оснивач Фонда Република Српска и да је оснивач 100% власник акција Фонда (Фонд је затворено акционарско друштво), на рад и пословање Фонда примјењују се и одредбе Закона о јавним предузећима („Службени гласник Републике Српске“, број 75/04 и 78/11).</w:t>
      </w:r>
    </w:p>
    <w:p w14:paraId="79DB5A34" w14:textId="77777777" w:rsidR="00FE0E1B" w:rsidRDefault="00FE0E1B" w:rsidP="00FE0E1B">
      <w:pPr>
        <w:rPr>
          <w:rFonts w:asciiTheme="minorHAnsi" w:hAnsiTheme="minorHAnsi"/>
          <w:noProof/>
          <w:sz w:val="20"/>
          <w:szCs w:val="20"/>
          <w:lang w:val="sr-Cyrl-RS"/>
        </w:rPr>
      </w:pPr>
    </w:p>
    <w:p w14:paraId="6F206C3B" w14:textId="77777777" w:rsidR="001538EF" w:rsidRPr="005767EF" w:rsidRDefault="001538EF" w:rsidP="00FE0E1B">
      <w:pPr>
        <w:rPr>
          <w:rFonts w:asciiTheme="minorHAnsi" w:hAnsiTheme="minorHAnsi"/>
          <w:noProof/>
          <w:sz w:val="20"/>
          <w:szCs w:val="20"/>
          <w:lang w:val="sr-Cyrl-RS"/>
        </w:rPr>
      </w:pPr>
      <w:r w:rsidRPr="005767EF">
        <w:rPr>
          <w:rFonts w:asciiTheme="minorHAnsi" w:hAnsiTheme="minorHAnsi"/>
          <w:noProof/>
          <w:sz w:val="20"/>
          <w:szCs w:val="20"/>
          <w:lang w:val="sr-Cyrl-RS"/>
        </w:rPr>
        <w:t xml:space="preserve">Основна дјелатност Фонда је издавање свих врста гаранција, супергаранција и контрагаранција за обезбјеђење дијела обавеза по кредиту или другој финансијској обавези, уговореним између предузетника са сједиштем, односно пребивалиштем у Републици Српској, као налогодавца гаранције и дужника по обезбјеђеној обавези, и банке или друге финансијске организације, као корисника гаранције и повјериоца по обезбјеђеној обавези. </w:t>
      </w:r>
    </w:p>
    <w:p w14:paraId="49E510A3" w14:textId="77777777" w:rsidR="00FE0E1B" w:rsidRDefault="00FE0E1B" w:rsidP="00FE0E1B">
      <w:pPr>
        <w:rPr>
          <w:rFonts w:asciiTheme="minorHAnsi" w:hAnsiTheme="minorHAnsi"/>
          <w:noProof/>
          <w:sz w:val="20"/>
          <w:szCs w:val="20"/>
          <w:lang w:val="sr-Cyrl-RS"/>
        </w:rPr>
      </w:pPr>
    </w:p>
    <w:p w14:paraId="73BC2B22" w14:textId="77777777" w:rsidR="001538EF" w:rsidRPr="005767EF" w:rsidRDefault="001538EF" w:rsidP="00FE0E1B">
      <w:pPr>
        <w:rPr>
          <w:rFonts w:asciiTheme="minorHAnsi" w:hAnsiTheme="minorHAnsi"/>
          <w:noProof/>
          <w:sz w:val="20"/>
          <w:szCs w:val="20"/>
          <w:lang w:val="sr-Cyrl-RS"/>
        </w:rPr>
      </w:pPr>
      <w:r w:rsidRPr="005767EF">
        <w:rPr>
          <w:rFonts w:asciiTheme="minorHAnsi" w:hAnsiTheme="minorHAnsi"/>
          <w:noProof/>
          <w:sz w:val="20"/>
          <w:szCs w:val="20"/>
          <w:lang w:val="sr-Cyrl-RS"/>
        </w:rPr>
        <w:t>Фонд може изда</w:t>
      </w:r>
      <w:r w:rsidR="00266AB6">
        <w:rPr>
          <w:rFonts w:asciiTheme="minorHAnsi" w:hAnsiTheme="minorHAnsi"/>
          <w:noProof/>
          <w:sz w:val="20"/>
          <w:szCs w:val="20"/>
          <w:lang w:val="sr-Cyrl-RS"/>
        </w:rPr>
        <w:t xml:space="preserve">ти гаранције </w:t>
      </w:r>
      <w:r w:rsidRPr="005767EF">
        <w:rPr>
          <w:rFonts w:asciiTheme="minorHAnsi" w:hAnsiTheme="minorHAnsi"/>
          <w:noProof/>
          <w:sz w:val="20"/>
          <w:szCs w:val="20"/>
          <w:lang w:val="sr-Cyrl-RS"/>
        </w:rPr>
        <w:t>до 50%</w:t>
      </w:r>
      <w:r w:rsidR="00266AB6">
        <w:rPr>
          <w:rFonts w:asciiTheme="minorHAnsi" w:hAnsiTheme="minorHAnsi"/>
          <w:noProof/>
          <w:sz w:val="20"/>
          <w:szCs w:val="20"/>
          <w:lang w:val="sr-Cyrl-RS"/>
        </w:rPr>
        <w:t xml:space="preserve"> (у изузетним случајевима до 70%)</w:t>
      </w:r>
      <w:r w:rsidRPr="005767EF">
        <w:rPr>
          <w:rFonts w:asciiTheme="minorHAnsi" w:hAnsiTheme="minorHAnsi"/>
          <w:noProof/>
          <w:sz w:val="20"/>
          <w:szCs w:val="20"/>
          <w:lang w:val="sr-Cyrl-RS"/>
        </w:rPr>
        <w:t xml:space="preserve"> износа одобреног кредита или друге финансијске обавезе које је предузетнику одобри</w:t>
      </w:r>
      <w:r w:rsidRPr="005767EF">
        <w:rPr>
          <w:rFonts w:asciiTheme="minorHAnsi" w:hAnsiTheme="minorHAnsi"/>
          <w:noProof/>
          <w:sz w:val="20"/>
          <w:szCs w:val="20"/>
          <w:lang w:val="sr-Cyrl-BA"/>
        </w:rPr>
        <w:t>л</w:t>
      </w:r>
      <w:r w:rsidRPr="005767EF">
        <w:rPr>
          <w:rFonts w:asciiTheme="minorHAnsi" w:hAnsiTheme="minorHAnsi"/>
          <w:noProof/>
          <w:sz w:val="20"/>
          <w:szCs w:val="20"/>
          <w:lang w:val="sr-Cyrl-RS"/>
        </w:rPr>
        <w:t>а банка или друга финансијска организација</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 xml:space="preserve">или </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максимално до 1.500.000,00 КМ</w:t>
      </w:r>
      <w:r w:rsidRPr="005767EF">
        <w:rPr>
          <w:rFonts w:asciiTheme="minorHAnsi" w:hAnsiTheme="minorHAnsi"/>
          <w:noProof/>
          <w:sz w:val="20"/>
          <w:szCs w:val="20"/>
          <w:lang w:val="sr-Cyrl-RS"/>
        </w:rPr>
        <w:t>. Гарантни потенцијал Фонда чини троструки износ оснивачког капитала Фонда</w:t>
      </w:r>
      <w:r w:rsidR="00266AB6">
        <w:rPr>
          <w:rFonts w:asciiTheme="minorHAnsi" w:hAnsiTheme="minorHAnsi"/>
          <w:noProof/>
          <w:sz w:val="20"/>
          <w:szCs w:val="20"/>
          <w:lang w:val="sr-Cyrl-RS"/>
        </w:rPr>
        <w:t>, односно 90.000.000,00 КМ</w:t>
      </w:r>
      <w:r w:rsidRPr="005767EF">
        <w:rPr>
          <w:rFonts w:asciiTheme="minorHAnsi" w:hAnsiTheme="minorHAnsi"/>
          <w:noProof/>
          <w:sz w:val="20"/>
          <w:szCs w:val="20"/>
          <w:lang w:val="sr-Cyrl-RS"/>
        </w:rPr>
        <w:t>.</w:t>
      </w:r>
    </w:p>
    <w:p w14:paraId="14CFA31A" w14:textId="77777777" w:rsidR="001538EF" w:rsidRPr="005767EF" w:rsidRDefault="001538EF" w:rsidP="001538EF">
      <w:pPr>
        <w:pStyle w:val="ListParagraph"/>
        <w:rPr>
          <w:rFonts w:asciiTheme="minorHAnsi" w:eastAsiaTheme="minorHAnsi" w:hAnsiTheme="minorHAnsi"/>
          <w:color w:val="auto"/>
          <w:sz w:val="20"/>
          <w:szCs w:val="20"/>
          <w:lang w:val="sr-Cyrl-RS" w:eastAsia="en-US"/>
        </w:rPr>
      </w:pPr>
    </w:p>
    <w:p w14:paraId="7CB0D7B6" w14:textId="77777777" w:rsidR="001538EF" w:rsidRPr="005767EF" w:rsidRDefault="001538EF" w:rsidP="001538EF">
      <w:pPr>
        <w:pStyle w:val="Heading1"/>
        <w:rPr>
          <w:rFonts w:asciiTheme="minorHAnsi" w:eastAsiaTheme="minorHAnsi" w:hAnsiTheme="minorHAnsi"/>
        </w:rPr>
      </w:pPr>
      <w:bookmarkStart w:id="2" w:name="_Toc135292167"/>
      <w:r w:rsidRPr="005767EF">
        <w:rPr>
          <w:rFonts w:asciiTheme="minorHAnsi" w:eastAsiaTheme="minorHAnsi" w:hAnsiTheme="minorHAnsi"/>
        </w:rPr>
        <w:t xml:space="preserve">ОРГАНИЗАЦИЈА И НАЧИН РАДА ГАРАНТНОГ ФОНДА </w:t>
      </w:r>
      <w:r w:rsidRPr="005767EF">
        <w:rPr>
          <w:rFonts w:asciiTheme="minorHAnsi" w:eastAsiaTheme="minorHAnsi" w:hAnsiTheme="minorHAnsi"/>
          <w:lang w:val="sr-Cyrl-BA"/>
        </w:rPr>
        <w:t>РЕПУБЛИКЕ СРПСКЕ</w:t>
      </w:r>
      <w:bookmarkEnd w:id="2"/>
    </w:p>
    <w:p w14:paraId="275054F5" w14:textId="77777777" w:rsidR="001538EF" w:rsidRPr="00FE0E1B" w:rsidRDefault="001538EF" w:rsidP="00FE0E1B">
      <w:pPr>
        <w:autoSpaceDE w:val="0"/>
        <w:autoSpaceDN w:val="0"/>
        <w:adjustRightInd w:val="0"/>
        <w:ind w:firstLine="431"/>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У складу са Законом о Гарантном фонду Републике Српске и Законом о јавним</w:t>
      </w:r>
      <w:r w:rsidRPr="005767EF">
        <w:rPr>
          <w:rFonts w:asciiTheme="minorHAnsi" w:eastAsiaTheme="minorHAnsi" w:hAnsiTheme="minorHAnsi"/>
          <w:color w:val="auto"/>
          <w:sz w:val="20"/>
          <w:szCs w:val="20"/>
          <w:lang w:val="sr-Cyrl-RS" w:eastAsia="en-US"/>
        </w:rPr>
        <w:t xml:space="preserve"> </w:t>
      </w:r>
      <w:r w:rsidR="00FE0E1B">
        <w:rPr>
          <w:rFonts w:asciiTheme="minorHAnsi" w:eastAsiaTheme="minorHAnsi" w:hAnsiTheme="minorHAnsi"/>
          <w:color w:val="auto"/>
          <w:sz w:val="20"/>
          <w:szCs w:val="20"/>
          <w:lang w:eastAsia="en-US"/>
        </w:rPr>
        <w:t>предузећима, Органе Фонда чине:</w:t>
      </w:r>
    </w:p>
    <w:p w14:paraId="4FD80DF3" w14:textId="77777777"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 xml:space="preserve">Скупштина акционара </w:t>
      </w:r>
    </w:p>
    <w:p w14:paraId="2E9C000A" w14:textId="77777777"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Надзорни одбор</w:t>
      </w:r>
    </w:p>
    <w:p w14:paraId="31BA5487" w14:textId="77777777"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Директор Фонда</w:t>
      </w:r>
    </w:p>
    <w:p w14:paraId="5449912A" w14:textId="77777777"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Одбор за ревизију</w:t>
      </w:r>
    </w:p>
    <w:p w14:paraId="2552D519" w14:textId="77777777"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val="sr-Cyrl-BA" w:eastAsia="en-US"/>
        </w:rPr>
        <w:t>Гарантни одбор</w:t>
      </w:r>
      <w:r w:rsidRPr="005767EF">
        <w:rPr>
          <w:rFonts w:asciiTheme="minorHAnsi" w:eastAsiaTheme="minorHAnsi" w:hAnsiTheme="minorHAnsi"/>
          <w:color w:val="auto"/>
          <w:sz w:val="20"/>
          <w:szCs w:val="20"/>
          <w:lang w:eastAsia="en-US"/>
        </w:rPr>
        <w:t xml:space="preserve"> </w:t>
      </w:r>
    </w:p>
    <w:p w14:paraId="75C5D594" w14:textId="77777777" w:rsidR="00FE0E1B" w:rsidRDefault="00FE0E1B" w:rsidP="00FE0E1B">
      <w:pPr>
        <w:autoSpaceDE w:val="0"/>
        <w:autoSpaceDN w:val="0"/>
        <w:adjustRightInd w:val="0"/>
        <w:rPr>
          <w:rFonts w:asciiTheme="minorHAnsi" w:eastAsiaTheme="minorHAnsi" w:hAnsiTheme="minorHAnsi"/>
          <w:color w:val="auto"/>
          <w:sz w:val="20"/>
          <w:szCs w:val="20"/>
          <w:lang w:val="sr-Cyrl-BA" w:eastAsia="en-US"/>
        </w:rPr>
      </w:pPr>
    </w:p>
    <w:p w14:paraId="419F8321" w14:textId="77777777" w:rsidR="001538EF" w:rsidRPr="00775661" w:rsidRDefault="001538EF" w:rsidP="00FE0E1B">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val="sr-Cyrl-BA" w:eastAsia="en-US"/>
        </w:rPr>
        <w:t xml:space="preserve">Права, обавезе и одговорност органа Фонда регулисана су </w:t>
      </w:r>
      <w:r w:rsidR="00266AB6" w:rsidRPr="00775661">
        <w:rPr>
          <w:rFonts w:asciiTheme="minorHAnsi" w:eastAsiaTheme="minorHAnsi" w:hAnsiTheme="minorHAnsi"/>
          <w:color w:val="auto"/>
          <w:sz w:val="20"/>
          <w:szCs w:val="20"/>
          <w:lang w:val="sr-Cyrl-BA" w:eastAsia="en-US"/>
        </w:rPr>
        <w:t>законским и подзаконским актима</w:t>
      </w:r>
      <w:r w:rsidR="00775661" w:rsidRPr="00775661">
        <w:rPr>
          <w:rFonts w:asciiTheme="minorHAnsi" w:eastAsiaTheme="minorHAnsi" w:hAnsiTheme="minorHAnsi"/>
          <w:color w:val="auto"/>
          <w:sz w:val="20"/>
          <w:szCs w:val="20"/>
          <w:lang w:val="sr-Cyrl-BA" w:eastAsia="en-US"/>
        </w:rPr>
        <w:t>,</w:t>
      </w:r>
      <w:r w:rsid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val="sr-Cyrl-BA" w:eastAsia="en-US"/>
        </w:rPr>
        <w:t>Статутом Фонда и интерним правилницима и пословницима о раду органа Фонда.</w:t>
      </w:r>
    </w:p>
    <w:p w14:paraId="1F766647" w14:textId="77777777" w:rsidR="001538EF" w:rsidRPr="00775661" w:rsidRDefault="001538EF" w:rsidP="00FE0E1B">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val="sr-Cyrl-BA" w:eastAsia="en-US"/>
        </w:rPr>
        <w:t xml:space="preserve">Влада Републике Српске у функцији Скупштине акционара Фонда </w:t>
      </w:r>
      <w:r w:rsidR="00775661">
        <w:rPr>
          <w:rFonts w:asciiTheme="minorHAnsi" w:eastAsiaTheme="minorHAnsi" w:hAnsiTheme="minorHAnsi"/>
          <w:color w:val="auto"/>
          <w:sz w:val="20"/>
          <w:szCs w:val="20"/>
          <w:lang w:val="sr-Cyrl-BA" w:eastAsia="en-US"/>
        </w:rPr>
        <w:t>је током 2023. године одржала</w:t>
      </w:r>
      <w:r w:rsidRPr="00775661">
        <w:rPr>
          <w:rFonts w:asciiTheme="minorHAnsi" w:eastAsiaTheme="minorHAnsi" w:hAnsiTheme="minorHAnsi"/>
          <w:color w:val="auto"/>
          <w:sz w:val="20"/>
          <w:szCs w:val="20"/>
          <w:lang w:val="sr-Cyrl-BA" w:eastAsia="en-US"/>
        </w:rPr>
        <w:t xml:space="preserve"> </w:t>
      </w:r>
      <w:r w:rsidR="00266AB6" w:rsidRPr="00775661">
        <w:rPr>
          <w:rFonts w:asciiTheme="minorHAnsi" w:eastAsiaTheme="minorHAnsi" w:hAnsiTheme="minorHAnsi"/>
          <w:color w:val="auto"/>
          <w:sz w:val="20"/>
          <w:szCs w:val="20"/>
          <w:lang w:val="sr-Cyrl-BA" w:eastAsia="en-US"/>
        </w:rPr>
        <w:t>12</w:t>
      </w:r>
      <w:r w:rsidR="00775661">
        <w:rPr>
          <w:rFonts w:asciiTheme="minorHAnsi" w:eastAsiaTheme="minorHAnsi" w:hAnsiTheme="minorHAnsi"/>
          <w:color w:val="auto"/>
          <w:sz w:val="20"/>
          <w:szCs w:val="20"/>
          <w:lang w:val="sr-Cyrl-BA" w:eastAsia="en-US"/>
        </w:rPr>
        <w:t xml:space="preserve"> сједница, те </w:t>
      </w:r>
      <w:r w:rsidRPr="00775661">
        <w:rPr>
          <w:rFonts w:asciiTheme="minorHAnsi" w:eastAsiaTheme="minorHAnsi" w:hAnsiTheme="minorHAnsi"/>
          <w:color w:val="auto"/>
          <w:sz w:val="20"/>
          <w:szCs w:val="20"/>
          <w:lang w:val="sr-Cyrl-BA" w:eastAsia="en-US"/>
        </w:rPr>
        <w:t>донијела 1</w:t>
      </w:r>
      <w:r w:rsidR="00266AB6" w:rsidRPr="00775661">
        <w:rPr>
          <w:rFonts w:asciiTheme="minorHAnsi" w:eastAsiaTheme="minorHAnsi" w:hAnsiTheme="minorHAnsi"/>
          <w:color w:val="auto"/>
          <w:sz w:val="20"/>
          <w:szCs w:val="20"/>
          <w:lang w:val="sr-Cyrl-BA" w:eastAsia="en-US"/>
        </w:rPr>
        <w:t>9</w:t>
      </w:r>
      <w:r w:rsidRPr="00775661">
        <w:rPr>
          <w:rFonts w:asciiTheme="minorHAnsi" w:eastAsiaTheme="minorHAnsi" w:hAnsiTheme="minorHAnsi"/>
          <w:color w:val="auto"/>
          <w:sz w:val="20"/>
          <w:szCs w:val="20"/>
          <w:lang w:val="sr-Cyrl-BA" w:eastAsia="en-US"/>
        </w:rPr>
        <w:t xml:space="preserve"> одлука </w:t>
      </w:r>
      <w:r w:rsidR="00266AB6" w:rsidRPr="00775661">
        <w:rPr>
          <w:rFonts w:asciiTheme="minorHAnsi" w:eastAsiaTheme="minorHAnsi" w:hAnsiTheme="minorHAnsi"/>
          <w:color w:val="auto"/>
          <w:sz w:val="20"/>
          <w:szCs w:val="20"/>
          <w:lang w:val="sr-Cyrl-BA" w:eastAsia="en-US"/>
        </w:rPr>
        <w:t xml:space="preserve">и 5 рјешења </w:t>
      </w:r>
      <w:r w:rsidRPr="00775661">
        <w:rPr>
          <w:rFonts w:asciiTheme="minorHAnsi" w:eastAsiaTheme="minorHAnsi" w:hAnsiTheme="minorHAnsi"/>
          <w:color w:val="auto"/>
          <w:sz w:val="20"/>
          <w:szCs w:val="20"/>
          <w:lang w:val="sr-Cyrl-BA" w:eastAsia="en-US"/>
        </w:rPr>
        <w:t>из своје надлежности.</w:t>
      </w:r>
      <w:r w:rsidR="00775661">
        <w:rPr>
          <w:rFonts w:asciiTheme="minorHAnsi" w:eastAsiaTheme="minorHAnsi" w:hAnsiTheme="minorHAnsi"/>
          <w:color w:val="auto"/>
          <w:sz w:val="20"/>
          <w:szCs w:val="20"/>
          <w:lang w:val="sr-Cyrl-BA" w:eastAsia="en-US"/>
        </w:rPr>
        <w:t xml:space="preserve"> Дана 28.12.2023. године, Влада Републике Српске је усвојила нови Статут Гарантног фонда којим се уређују надлежности, организација и начин избора органа Фонда, правила пословања и друга питања од значаја за рад Фонда.</w:t>
      </w:r>
    </w:p>
    <w:p w14:paraId="1C3E6ABE" w14:textId="77777777" w:rsidR="001538EF" w:rsidRDefault="001538EF" w:rsidP="001538EF">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val="sr-Cyrl-BA" w:eastAsia="en-US"/>
        </w:rPr>
        <w:t xml:space="preserve">Надзорни одбор је одржао </w:t>
      </w:r>
      <w:r w:rsidR="00775661" w:rsidRPr="00775661">
        <w:rPr>
          <w:rFonts w:asciiTheme="minorHAnsi" w:eastAsiaTheme="minorHAnsi" w:hAnsiTheme="minorHAnsi"/>
          <w:color w:val="auto"/>
          <w:sz w:val="20"/>
          <w:szCs w:val="20"/>
          <w:lang w:val="sr-Cyrl-BA" w:eastAsia="en-US"/>
        </w:rPr>
        <w:t xml:space="preserve">14 сједница, од чега </w:t>
      </w:r>
      <w:r w:rsidR="00266AB6" w:rsidRPr="00775661">
        <w:rPr>
          <w:rFonts w:asciiTheme="minorHAnsi" w:eastAsiaTheme="minorHAnsi" w:hAnsiTheme="minorHAnsi"/>
          <w:color w:val="auto"/>
          <w:sz w:val="20"/>
          <w:szCs w:val="20"/>
          <w:lang w:val="sr-Cyrl-BA" w:eastAsia="en-US"/>
        </w:rPr>
        <w:t xml:space="preserve">6 редовних и 8 ванредних. </w:t>
      </w:r>
      <w:r w:rsidR="00775661" w:rsidRPr="00775661">
        <w:rPr>
          <w:rFonts w:asciiTheme="minorHAnsi" w:eastAsiaTheme="minorHAnsi" w:hAnsiTheme="minorHAnsi"/>
          <w:color w:val="auto"/>
          <w:sz w:val="20"/>
          <w:szCs w:val="20"/>
          <w:lang w:val="sr-Cyrl-BA" w:eastAsia="en-US"/>
        </w:rPr>
        <w:t>Овај орган</w:t>
      </w:r>
      <w:r w:rsidR="00266AB6" w:rsidRPr="00775661">
        <w:rPr>
          <w:rFonts w:asciiTheme="minorHAnsi" w:eastAsiaTheme="minorHAnsi" w:hAnsiTheme="minorHAnsi"/>
          <w:color w:val="auto"/>
          <w:sz w:val="20"/>
          <w:szCs w:val="20"/>
          <w:lang w:val="sr-Cyrl-BA" w:eastAsia="en-US"/>
        </w:rPr>
        <w:t xml:space="preserve"> </w:t>
      </w:r>
      <w:r w:rsidR="00775661">
        <w:rPr>
          <w:rFonts w:asciiTheme="minorHAnsi" w:eastAsiaTheme="minorHAnsi" w:hAnsiTheme="minorHAnsi"/>
          <w:color w:val="auto"/>
          <w:sz w:val="20"/>
          <w:szCs w:val="20"/>
          <w:lang w:val="sr-Cyrl-BA" w:eastAsia="en-US"/>
        </w:rPr>
        <w:t xml:space="preserve">Фонда </w:t>
      </w:r>
      <w:r w:rsidR="00266AB6" w:rsidRPr="00775661">
        <w:rPr>
          <w:rFonts w:asciiTheme="minorHAnsi" w:eastAsiaTheme="minorHAnsi" w:hAnsiTheme="minorHAnsi"/>
          <w:color w:val="auto"/>
          <w:sz w:val="20"/>
          <w:szCs w:val="20"/>
          <w:lang w:val="sr-Cyrl-BA" w:eastAsia="en-US"/>
        </w:rPr>
        <w:t>је донио укупно 49 правних аката из своје надлежности, и то: 14 одлука, 21 закључак, 5 рјешења, 3</w:t>
      </w:r>
      <w:r w:rsidRPr="00775661">
        <w:rPr>
          <w:rFonts w:asciiTheme="minorHAnsi" w:eastAsiaTheme="minorHAnsi" w:hAnsiTheme="minorHAnsi"/>
          <w:color w:val="auto"/>
          <w:sz w:val="20"/>
          <w:szCs w:val="20"/>
          <w:lang w:val="sr-Cyrl-BA" w:eastAsia="en-US"/>
        </w:rPr>
        <w:t xml:space="preserve"> правилника </w:t>
      </w:r>
      <w:r w:rsidR="00266AB6" w:rsidRPr="00775661">
        <w:rPr>
          <w:rFonts w:asciiTheme="minorHAnsi" w:eastAsiaTheme="minorHAnsi" w:hAnsiTheme="minorHAnsi"/>
          <w:color w:val="auto"/>
          <w:sz w:val="20"/>
          <w:szCs w:val="20"/>
          <w:lang w:val="sr-Cyrl-BA" w:eastAsia="en-US"/>
        </w:rPr>
        <w:t>и при</w:t>
      </w:r>
      <w:r w:rsidR="00775661" w:rsidRPr="00775661">
        <w:rPr>
          <w:rFonts w:asciiTheme="minorHAnsi" w:eastAsiaTheme="minorHAnsi" w:hAnsiTheme="minorHAnsi"/>
          <w:color w:val="auto"/>
          <w:sz w:val="20"/>
          <w:szCs w:val="20"/>
          <w:lang w:val="sr-Cyrl-BA" w:eastAsia="en-US"/>
        </w:rPr>
        <w:t>јед</w:t>
      </w:r>
      <w:r w:rsidR="00266AB6" w:rsidRPr="00775661">
        <w:rPr>
          <w:rFonts w:asciiTheme="minorHAnsi" w:eastAsiaTheme="minorHAnsi" w:hAnsiTheme="minorHAnsi"/>
          <w:color w:val="auto"/>
          <w:sz w:val="20"/>
          <w:szCs w:val="20"/>
          <w:lang w:val="sr-Cyrl-BA" w:eastAsia="en-US"/>
        </w:rPr>
        <w:t>лог статута, 3 уговора, једн</w:t>
      </w:r>
      <w:r w:rsidR="00775661" w:rsidRPr="00775661">
        <w:rPr>
          <w:rFonts w:asciiTheme="minorHAnsi" w:eastAsiaTheme="minorHAnsi" w:hAnsiTheme="minorHAnsi"/>
          <w:color w:val="auto"/>
          <w:sz w:val="20"/>
          <w:szCs w:val="20"/>
          <w:lang w:val="sr-Cyrl-BA" w:eastAsia="en-US"/>
        </w:rPr>
        <w:t>у иницијативу и један извјештај.</w:t>
      </w:r>
      <w:r w:rsidR="00AD53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val="sr-Cyrl-BA" w:eastAsia="en-US"/>
        </w:rPr>
        <w:t xml:space="preserve">Одбор за ревизију је одржао  </w:t>
      </w:r>
      <w:r w:rsidR="00775661" w:rsidRPr="00775661">
        <w:rPr>
          <w:rFonts w:asciiTheme="minorHAnsi" w:eastAsiaTheme="minorHAnsi" w:hAnsiTheme="minorHAnsi"/>
          <w:color w:val="auto"/>
          <w:sz w:val="20"/>
          <w:szCs w:val="20"/>
          <w:lang w:val="sr-Cyrl-BA" w:eastAsia="en-US"/>
        </w:rPr>
        <w:t>5 сједница и донио 20 препорука</w:t>
      </w:r>
      <w:r w:rsidR="00AD53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val="sr-Cyrl-BA" w:eastAsia="en-US"/>
        </w:rPr>
        <w:t>Гарантни одбор је одржао 3</w:t>
      </w:r>
      <w:r w:rsidR="00775661" w:rsidRPr="00775661">
        <w:rPr>
          <w:rFonts w:asciiTheme="minorHAnsi" w:eastAsiaTheme="minorHAnsi" w:hAnsiTheme="minorHAnsi"/>
          <w:color w:val="auto"/>
          <w:sz w:val="20"/>
          <w:szCs w:val="20"/>
          <w:lang w:val="sr-Cyrl-BA" w:eastAsia="en-US"/>
        </w:rPr>
        <w:t>0</w:t>
      </w:r>
      <w:r w:rsidRPr="00775661">
        <w:rPr>
          <w:rFonts w:asciiTheme="minorHAnsi" w:eastAsiaTheme="minorHAnsi" w:hAnsiTheme="minorHAnsi"/>
          <w:color w:val="auto"/>
          <w:sz w:val="20"/>
          <w:szCs w:val="20"/>
          <w:lang w:val="sr-Cyrl-BA" w:eastAsia="en-US"/>
        </w:rPr>
        <w:t xml:space="preserve"> сједница и донио </w:t>
      </w:r>
      <w:r w:rsidR="00775661" w:rsidRPr="00775661">
        <w:rPr>
          <w:rFonts w:asciiTheme="minorHAnsi" w:eastAsiaTheme="minorHAnsi" w:hAnsiTheme="minorHAnsi"/>
          <w:color w:val="auto"/>
          <w:sz w:val="20"/>
          <w:szCs w:val="20"/>
          <w:lang w:val="sr-Cyrl-BA" w:eastAsia="en-US"/>
        </w:rPr>
        <w:t>52 одлуке и 15</w:t>
      </w:r>
      <w:r w:rsidRPr="00775661">
        <w:rPr>
          <w:rFonts w:asciiTheme="minorHAnsi" w:eastAsiaTheme="minorHAnsi" w:hAnsiTheme="minorHAnsi"/>
          <w:color w:val="auto"/>
          <w:sz w:val="20"/>
          <w:szCs w:val="20"/>
          <w:lang w:val="sr-Cyrl-BA" w:eastAsia="en-US"/>
        </w:rPr>
        <w:t xml:space="preserve"> приједлога одлука</w:t>
      </w:r>
      <w:r w:rsidR="00775661" w:rsidRPr="00775661">
        <w:rPr>
          <w:rFonts w:asciiTheme="minorHAnsi" w:eastAsiaTheme="minorHAnsi" w:hAnsiTheme="minorHAnsi"/>
          <w:color w:val="auto"/>
          <w:sz w:val="20"/>
          <w:szCs w:val="20"/>
          <w:lang w:val="sr-Cyrl-BA" w:eastAsia="en-US"/>
        </w:rPr>
        <w:t xml:space="preserve"> за Скупштину акционара.</w:t>
      </w:r>
    </w:p>
    <w:p w14:paraId="2191B04D" w14:textId="77777777" w:rsidR="00AD5361" w:rsidRDefault="00AD5361" w:rsidP="001538EF">
      <w:pPr>
        <w:autoSpaceDE w:val="0"/>
        <w:autoSpaceDN w:val="0"/>
        <w:adjustRightInd w:val="0"/>
        <w:rPr>
          <w:rFonts w:asciiTheme="minorHAnsi" w:eastAsiaTheme="minorHAnsi" w:hAnsiTheme="minorHAnsi"/>
          <w:color w:val="auto"/>
          <w:sz w:val="20"/>
          <w:szCs w:val="20"/>
          <w:lang w:val="sr-Cyrl-BA" w:eastAsia="en-US"/>
        </w:rPr>
      </w:pPr>
    </w:p>
    <w:p w14:paraId="6D253311" w14:textId="77777777" w:rsidR="001538EF" w:rsidRPr="00EB4CFD" w:rsidRDefault="001538EF" w:rsidP="00FE0E1B">
      <w:pPr>
        <w:autoSpaceDE w:val="0"/>
        <w:autoSpaceDN w:val="0"/>
        <w:adjustRightInd w:val="0"/>
        <w:rPr>
          <w:rFonts w:asciiTheme="minorHAnsi" w:eastAsiaTheme="minorHAnsi" w:hAnsiTheme="minorHAnsi"/>
          <w:color w:val="auto"/>
          <w:sz w:val="20"/>
          <w:szCs w:val="20"/>
          <w:lang w:val="sr-Cyrl-BA" w:eastAsia="en-US"/>
        </w:rPr>
      </w:pPr>
      <w:r w:rsidRPr="00EB4CFD">
        <w:rPr>
          <w:rFonts w:asciiTheme="minorHAnsi" w:eastAsiaTheme="minorHAnsi" w:hAnsiTheme="minorHAnsi"/>
          <w:color w:val="auto"/>
          <w:sz w:val="20"/>
          <w:szCs w:val="20"/>
          <w:lang w:eastAsia="en-US"/>
        </w:rPr>
        <w:t>Правилником о унутрашњој организацији и систематизациј</w:t>
      </w:r>
      <w:r w:rsidRPr="00EB4CFD">
        <w:rPr>
          <w:rFonts w:asciiTheme="minorHAnsi" w:eastAsiaTheme="minorHAnsi" w:hAnsiTheme="minorHAnsi"/>
          <w:color w:val="auto"/>
          <w:sz w:val="20"/>
          <w:szCs w:val="20"/>
          <w:lang w:val="sr-Cyrl-RS" w:eastAsia="en-US"/>
        </w:rPr>
        <w:t>и</w:t>
      </w:r>
      <w:r w:rsidRPr="00EB4CFD">
        <w:rPr>
          <w:rFonts w:asciiTheme="minorHAnsi" w:eastAsiaTheme="minorHAnsi" w:hAnsiTheme="minorHAnsi"/>
          <w:color w:val="auto"/>
          <w:sz w:val="20"/>
          <w:szCs w:val="20"/>
          <w:lang w:eastAsia="en-US"/>
        </w:rPr>
        <w:t xml:space="preserve"> радних мјеста</w:t>
      </w:r>
      <w:r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eastAsia="en-US"/>
        </w:rPr>
        <w:t>у</w:t>
      </w:r>
      <w:r w:rsidRPr="00EB4CFD">
        <w:rPr>
          <w:rFonts w:asciiTheme="minorHAnsi" w:eastAsiaTheme="minorHAnsi" w:hAnsiTheme="minorHAnsi"/>
          <w:color w:val="auto"/>
          <w:sz w:val="20"/>
          <w:szCs w:val="20"/>
          <w:lang w:val="sr-Cyrl-RS" w:eastAsia="en-US"/>
        </w:rPr>
        <w:t xml:space="preserve"> </w:t>
      </w:r>
      <w:r w:rsidR="00775661" w:rsidRPr="00EB4CFD">
        <w:rPr>
          <w:rFonts w:asciiTheme="minorHAnsi" w:eastAsiaTheme="minorHAnsi" w:hAnsiTheme="minorHAnsi"/>
          <w:color w:val="auto"/>
          <w:sz w:val="20"/>
          <w:szCs w:val="20"/>
          <w:lang w:eastAsia="en-US"/>
        </w:rPr>
        <w:t xml:space="preserve">Фонду </w:t>
      </w:r>
      <w:r w:rsidR="00775661" w:rsidRPr="00EB4CFD">
        <w:rPr>
          <w:rFonts w:asciiTheme="minorHAnsi" w:eastAsiaTheme="minorHAnsi" w:hAnsiTheme="minorHAnsi"/>
          <w:color w:val="auto"/>
          <w:sz w:val="20"/>
          <w:szCs w:val="20"/>
          <w:lang w:val="sr-Cyrl-RS" w:eastAsia="en-US"/>
        </w:rPr>
        <w:t>су</w:t>
      </w:r>
      <w:r w:rsidR="00775661" w:rsidRPr="00EB4CFD">
        <w:rPr>
          <w:rFonts w:asciiTheme="minorHAnsi" w:eastAsiaTheme="minorHAnsi" w:hAnsiTheme="minorHAnsi"/>
          <w:color w:val="auto"/>
          <w:sz w:val="20"/>
          <w:szCs w:val="20"/>
          <w:lang w:eastAsia="en-US"/>
        </w:rPr>
        <w:t xml:space="preserve"> систематизован</w:t>
      </w:r>
      <w:r w:rsidR="00775661" w:rsidRPr="00EB4CFD">
        <w:rPr>
          <w:rFonts w:asciiTheme="minorHAnsi" w:eastAsiaTheme="minorHAnsi" w:hAnsiTheme="minorHAnsi"/>
          <w:color w:val="auto"/>
          <w:sz w:val="20"/>
          <w:szCs w:val="20"/>
          <w:lang w:val="sr-Cyrl-RS" w:eastAsia="en-US"/>
        </w:rPr>
        <w:t>а</w:t>
      </w:r>
      <w:r w:rsidR="00775661" w:rsidRPr="00EB4CFD">
        <w:rPr>
          <w:rFonts w:asciiTheme="minorHAnsi" w:eastAsiaTheme="minorHAnsi" w:hAnsiTheme="minorHAnsi"/>
          <w:color w:val="auto"/>
          <w:sz w:val="20"/>
          <w:szCs w:val="20"/>
          <w:lang w:eastAsia="en-US"/>
        </w:rPr>
        <w:t xml:space="preserve"> </w:t>
      </w:r>
      <w:r w:rsidRPr="00EB4CFD">
        <w:rPr>
          <w:rFonts w:asciiTheme="minorHAnsi" w:eastAsiaTheme="minorHAnsi" w:hAnsiTheme="minorHAnsi"/>
          <w:color w:val="auto"/>
          <w:sz w:val="20"/>
          <w:szCs w:val="20"/>
          <w:lang w:eastAsia="en-US"/>
        </w:rPr>
        <w:t>2</w:t>
      </w:r>
      <w:r w:rsidRPr="00EB4CFD">
        <w:rPr>
          <w:rFonts w:asciiTheme="minorHAnsi" w:eastAsiaTheme="minorHAnsi" w:hAnsiTheme="minorHAnsi"/>
          <w:color w:val="auto"/>
          <w:sz w:val="20"/>
          <w:szCs w:val="20"/>
          <w:lang w:val="sr-Cyrl-BA" w:eastAsia="en-US"/>
        </w:rPr>
        <w:t>3</w:t>
      </w:r>
      <w:r w:rsidRPr="00EB4CFD">
        <w:rPr>
          <w:rFonts w:asciiTheme="minorHAnsi" w:eastAsiaTheme="minorHAnsi" w:hAnsiTheme="minorHAnsi"/>
          <w:color w:val="auto"/>
          <w:sz w:val="20"/>
          <w:szCs w:val="20"/>
          <w:lang w:eastAsia="en-US"/>
        </w:rPr>
        <w:t xml:space="preserve"> радн</w:t>
      </w:r>
      <w:r w:rsidRPr="00EB4CFD">
        <w:rPr>
          <w:rFonts w:asciiTheme="minorHAnsi" w:eastAsiaTheme="minorHAnsi" w:hAnsiTheme="minorHAnsi"/>
          <w:color w:val="auto"/>
          <w:sz w:val="20"/>
          <w:szCs w:val="20"/>
          <w:lang w:val="sr-Cyrl-BA" w:eastAsia="en-US"/>
        </w:rPr>
        <w:t>а</w:t>
      </w:r>
      <w:r w:rsidRPr="00EB4CFD">
        <w:rPr>
          <w:rFonts w:asciiTheme="minorHAnsi" w:eastAsiaTheme="minorHAnsi" w:hAnsiTheme="minorHAnsi"/>
          <w:color w:val="auto"/>
          <w:sz w:val="20"/>
          <w:szCs w:val="20"/>
          <w:lang w:eastAsia="en-US"/>
        </w:rPr>
        <w:t xml:space="preserve"> мјеста</w:t>
      </w:r>
      <w:r w:rsidRPr="00EB4CFD">
        <w:rPr>
          <w:rFonts w:asciiTheme="minorHAnsi" w:eastAsiaTheme="minorHAnsi" w:hAnsiTheme="minorHAnsi"/>
          <w:color w:val="auto"/>
          <w:sz w:val="20"/>
          <w:szCs w:val="20"/>
          <w:lang w:val="sr-Cyrl-BA" w:eastAsia="en-US"/>
        </w:rPr>
        <w:t>.</w:t>
      </w:r>
      <w:r w:rsidR="00775661" w:rsidRPr="00EB4CFD">
        <w:rPr>
          <w:rFonts w:asciiTheme="minorHAnsi" w:eastAsiaTheme="minorHAnsi" w:hAnsiTheme="minorHAnsi"/>
          <w:color w:val="auto"/>
          <w:sz w:val="20"/>
          <w:szCs w:val="20"/>
          <w:lang w:val="sr-Cyrl-BA" w:eastAsia="en-US"/>
        </w:rPr>
        <w:t xml:space="preserve"> </w:t>
      </w:r>
      <w:r w:rsidR="00775661" w:rsidRPr="00EB4CFD">
        <w:rPr>
          <w:rFonts w:asciiTheme="minorHAnsi" w:eastAsiaTheme="minorHAnsi" w:hAnsiTheme="minorHAnsi"/>
          <w:color w:val="auto"/>
          <w:sz w:val="20"/>
          <w:szCs w:val="20"/>
          <w:lang w:val="sr-Cyrl-RS" w:eastAsia="en-US"/>
        </w:rPr>
        <w:t>На дан</w:t>
      </w:r>
      <w:r w:rsidRPr="00EB4CFD">
        <w:rPr>
          <w:rFonts w:asciiTheme="minorHAnsi" w:eastAsiaTheme="minorHAnsi" w:hAnsiTheme="minorHAnsi"/>
          <w:color w:val="auto"/>
          <w:sz w:val="20"/>
          <w:szCs w:val="20"/>
          <w:lang w:eastAsia="en-US"/>
        </w:rPr>
        <w:t xml:space="preserve"> 31.12.20</w:t>
      </w:r>
      <w:r w:rsidRPr="00EB4CFD">
        <w:rPr>
          <w:rFonts w:asciiTheme="minorHAnsi" w:eastAsiaTheme="minorHAnsi" w:hAnsiTheme="minorHAnsi"/>
          <w:color w:val="auto"/>
          <w:sz w:val="20"/>
          <w:szCs w:val="20"/>
          <w:lang w:val="sr-Cyrl-BA" w:eastAsia="en-US"/>
        </w:rPr>
        <w:t>2</w:t>
      </w:r>
      <w:r w:rsidR="00775661" w:rsidRPr="00EB4CFD">
        <w:rPr>
          <w:rFonts w:asciiTheme="minorHAnsi" w:eastAsiaTheme="minorHAnsi" w:hAnsiTheme="minorHAnsi"/>
          <w:color w:val="auto"/>
          <w:sz w:val="20"/>
          <w:szCs w:val="20"/>
          <w:lang w:val="sr-Cyrl-RS" w:eastAsia="en-US"/>
        </w:rPr>
        <w:t>3</w:t>
      </w:r>
      <w:r w:rsidRPr="00EB4CFD">
        <w:rPr>
          <w:rFonts w:asciiTheme="minorHAnsi" w:eastAsiaTheme="minorHAnsi" w:hAnsiTheme="minorHAnsi"/>
          <w:color w:val="auto"/>
          <w:sz w:val="20"/>
          <w:szCs w:val="20"/>
          <w:lang w:eastAsia="en-US"/>
        </w:rPr>
        <w:t>. године</w:t>
      </w:r>
      <w:r w:rsidR="00775661" w:rsidRPr="00EB4CFD">
        <w:rPr>
          <w:rFonts w:asciiTheme="minorHAnsi" w:eastAsiaTheme="minorHAnsi" w:hAnsiTheme="minorHAnsi"/>
          <w:color w:val="auto"/>
          <w:sz w:val="20"/>
          <w:szCs w:val="20"/>
          <w:lang w:val="sr-Cyrl-RS" w:eastAsia="en-US"/>
        </w:rPr>
        <w:t>,</w:t>
      </w:r>
      <w:r w:rsidR="00775661" w:rsidRPr="00EB4CFD">
        <w:rPr>
          <w:rFonts w:asciiTheme="minorHAnsi" w:eastAsiaTheme="minorHAnsi" w:hAnsiTheme="minorHAnsi"/>
          <w:color w:val="auto"/>
          <w:sz w:val="20"/>
          <w:szCs w:val="20"/>
          <w:lang w:eastAsia="en-US"/>
        </w:rPr>
        <w:t xml:space="preserve"> попуњен</w:t>
      </w:r>
      <w:r w:rsidR="00775661" w:rsidRPr="00EB4CFD">
        <w:rPr>
          <w:rFonts w:asciiTheme="minorHAnsi" w:eastAsiaTheme="minorHAnsi" w:hAnsiTheme="minorHAnsi"/>
          <w:color w:val="auto"/>
          <w:sz w:val="20"/>
          <w:szCs w:val="20"/>
          <w:lang w:val="sr-Cyrl-RS" w:eastAsia="en-US"/>
        </w:rPr>
        <w:t>а су</w:t>
      </w:r>
      <w:r w:rsidRPr="00EB4CFD">
        <w:rPr>
          <w:rFonts w:asciiTheme="minorHAnsi" w:eastAsiaTheme="minorHAnsi" w:hAnsiTheme="minorHAnsi"/>
          <w:color w:val="auto"/>
          <w:sz w:val="20"/>
          <w:szCs w:val="20"/>
          <w:lang w:eastAsia="en-US"/>
        </w:rPr>
        <w:t xml:space="preserve"> </w:t>
      </w:r>
      <w:r w:rsidR="00775661" w:rsidRPr="00EB4CFD">
        <w:rPr>
          <w:rFonts w:asciiTheme="minorHAnsi" w:eastAsiaTheme="minorHAnsi" w:hAnsiTheme="minorHAnsi"/>
          <w:color w:val="auto"/>
          <w:sz w:val="20"/>
          <w:szCs w:val="20"/>
          <w:lang w:val="sr-Cyrl-BA" w:eastAsia="en-US"/>
        </w:rPr>
        <w:t>сва</w:t>
      </w:r>
      <w:r w:rsidR="00775661" w:rsidRPr="00EB4CFD">
        <w:rPr>
          <w:rFonts w:asciiTheme="minorHAnsi" w:eastAsiaTheme="minorHAnsi" w:hAnsiTheme="minorHAnsi"/>
          <w:color w:val="auto"/>
          <w:sz w:val="20"/>
          <w:szCs w:val="20"/>
          <w:lang w:eastAsia="en-US"/>
        </w:rPr>
        <w:t xml:space="preserve"> радн</w:t>
      </w:r>
      <w:r w:rsidR="00775661" w:rsidRPr="00EB4CFD">
        <w:rPr>
          <w:rFonts w:asciiTheme="minorHAnsi" w:eastAsiaTheme="minorHAnsi" w:hAnsiTheme="minorHAnsi"/>
          <w:color w:val="auto"/>
          <w:sz w:val="20"/>
          <w:szCs w:val="20"/>
          <w:lang w:val="sr-Cyrl-RS" w:eastAsia="en-US"/>
        </w:rPr>
        <w:t>а</w:t>
      </w:r>
      <w:r w:rsidRPr="00EB4CFD">
        <w:rPr>
          <w:rFonts w:asciiTheme="minorHAnsi" w:eastAsiaTheme="minorHAnsi" w:hAnsiTheme="minorHAnsi"/>
          <w:color w:val="auto"/>
          <w:sz w:val="20"/>
          <w:szCs w:val="20"/>
          <w:lang w:eastAsia="en-US"/>
        </w:rPr>
        <w:t xml:space="preserve"> мјеста </w:t>
      </w:r>
      <w:r w:rsidR="00775661" w:rsidRPr="00EB4CFD">
        <w:rPr>
          <w:rFonts w:asciiTheme="minorHAnsi" w:eastAsiaTheme="minorHAnsi" w:hAnsiTheme="minorHAnsi"/>
          <w:color w:val="auto"/>
          <w:sz w:val="20"/>
          <w:szCs w:val="20"/>
          <w:lang w:val="sr-Cyrl-BA" w:eastAsia="en-US"/>
        </w:rPr>
        <w:t>предвиђена систематизацијом</w:t>
      </w:r>
      <w:r w:rsidRPr="00EB4CFD">
        <w:rPr>
          <w:rFonts w:asciiTheme="minorHAnsi" w:eastAsiaTheme="minorHAnsi" w:hAnsiTheme="minorHAnsi"/>
          <w:color w:val="auto"/>
          <w:sz w:val="20"/>
          <w:szCs w:val="20"/>
          <w:lang w:val="sr-Cyrl-BA" w:eastAsia="en-US"/>
        </w:rPr>
        <w:t xml:space="preserve">. </w:t>
      </w:r>
      <w:r w:rsidR="00EB4CFD" w:rsidRPr="00EB4CFD">
        <w:rPr>
          <w:rFonts w:asciiTheme="minorHAnsi" w:eastAsiaTheme="minorHAnsi" w:hAnsiTheme="minorHAnsi"/>
          <w:color w:val="auto"/>
          <w:sz w:val="20"/>
          <w:szCs w:val="20"/>
          <w:lang w:val="sr-Cyrl-BA" w:eastAsia="en-US"/>
        </w:rPr>
        <w:t>К</w:t>
      </w:r>
      <w:r w:rsidR="00775661" w:rsidRPr="00EB4CFD">
        <w:rPr>
          <w:rFonts w:asciiTheme="minorHAnsi" w:eastAsiaTheme="minorHAnsi" w:hAnsiTheme="minorHAnsi"/>
          <w:color w:val="auto"/>
          <w:sz w:val="20"/>
          <w:szCs w:val="20"/>
          <w:lang w:eastAsia="en-US"/>
        </w:rPr>
        <w:t>валификацион</w:t>
      </w:r>
      <w:r w:rsidR="00EB4CFD" w:rsidRPr="00EB4CFD">
        <w:rPr>
          <w:rFonts w:asciiTheme="minorHAnsi" w:eastAsiaTheme="minorHAnsi" w:hAnsiTheme="minorHAnsi"/>
          <w:color w:val="auto"/>
          <w:sz w:val="20"/>
          <w:szCs w:val="20"/>
          <w:lang w:val="sr-Cyrl-RS" w:eastAsia="en-US"/>
        </w:rPr>
        <w:t>у</w:t>
      </w:r>
      <w:r w:rsidR="00EB4CFD" w:rsidRPr="00EB4CFD">
        <w:rPr>
          <w:rFonts w:asciiTheme="minorHAnsi" w:eastAsiaTheme="minorHAnsi" w:hAnsiTheme="minorHAnsi"/>
          <w:color w:val="auto"/>
          <w:sz w:val="20"/>
          <w:szCs w:val="20"/>
          <w:lang w:eastAsia="en-US"/>
        </w:rPr>
        <w:t xml:space="preserve"> структур</w:t>
      </w:r>
      <w:r w:rsidR="00EB4CFD" w:rsidRPr="00EB4CFD">
        <w:rPr>
          <w:rFonts w:asciiTheme="minorHAnsi" w:eastAsiaTheme="minorHAnsi" w:hAnsiTheme="minorHAnsi"/>
          <w:color w:val="auto"/>
          <w:sz w:val="20"/>
          <w:szCs w:val="20"/>
          <w:lang w:val="sr-Cyrl-RS" w:eastAsia="en-US"/>
        </w:rPr>
        <w:t>у</w:t>
      </w:r>
      <w:r w:rsidR="00775661" w:rsidRPr="00EB4CFD">
        <w:rPr>
          <w:rFonts w:asciiTheme="minorHAnsi" w:eastAsiaTheme="minorHAnsi" w:hAnsiTheme="minorHAnsi"/>
          <w:color w:val="auto"/>
          <w:sz w:val="20"/>
          <w:szCs w:val="20"/>
          <w:lang w:eastAsia="en-US"/>
        </w:rPr>
        <w:t xml:space="preserve"> запослених</w:t>
      </w:r>
      <w:r w:rsidR="00EB4CFD" w:rsidRPr="00EB4CFD">
        <w:rPr>
          <w:rFonts w:asciiTheme="minorHAnsi" w:eastAsiaTheme="minorHAnsi" w:hAnsiTheme="minorHAnsi"/>
          <w:color w:val="auto"/>
          <w:sz w:val="20"/>
          <w:szCs w:val="20"/>
          <w:lang w:val="sr-Cyrl-RS" w:eastAsia="en-US"/>
        </w:rPr>
        <w:t xml:space="preserve"> чини</w:t>
      </w:r>
      <w:r w:rsidR="00775661"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val="sr-Cyrl-BA" w:eastAsia="en-US"/>
        </w:rPr>
        <w:t>20</w:t>
      </w:r>
      <w:r w:rsidR="00775661" w:rsidRPr="00EB4CFD">
        <w:rPr>
          <w:rFonts w:asciiTheme="minorHAnsi" w:eastAsiaTheme="minorHAnsi" w:hAnsiTheme="minorHAnsi"/>
          <w:color w:val="auto"/>
          <w:sz w:val="20"/>
          <w:szCs w:val="20"/>
          <w:lang w:eastAsia="en-US"/>
        </w:rPr>
        <w:t xml:space="preserve"> радника </w:t>
      </w:r>
      <w:r w:rsidR="00EB4CFD" w:rsidRPr="00EB4CFD">
        <w:rPr>
          <w:rFonts w:asciiTheme="minorHAnsi" w:eastAsiaTheme="minorHAnsi" w:hAnsiTheme="minorHAnsi"/>
          <w:color w:val="auto"/>
          <w:sz w:val="20"/>
          <w:szCs w:val="20"/>
          <w:lang w:val="sr-Cyrl-RS" w:eastAsia="en-US"/>
        </w:rPr>
        <w:t xml:space="preserve">са високом стручном спремом и </w:t>
      </w:r>
      <w:r w:rsidR="00775661" w:rsidRPr="00EB4CFD">
        <w:rPr>
          <w:rFonts w:asciiTheme="minorHAnsi" w:eastAsiaTheme="minorHAnsi" w:hAnsiTheme="minorHAnsi"/>
          <w:color w:val="auto"/>
          <w:sz w:val="20"/>
          <w:szCs w:val="20"/>
          <w:lang w:val="sr-Cyrl-RS" w:eastAsia="en-US"/>
        </w:rPr>
        <w:t xml:space="preserve">3 радника </w:t>
      </w:r>
      <w:r w:rsidR="00EB4CFD" w:rsidRPr="00EB4CFD">
        <w:rPr>
          <w:rFonts w:asciiTheme="minorHAnsi" w:eastAsiaTheme="minorHAnsi" w:hAnsiTheme="minorHAnsi"/>
          <w:color w:val="auto"/>
          <w:sz w:val="20"/>
          <w:szCs w:val="20"/>
          <w:lang w:val="sr-Cyrl-RS" w:eastAsia="en-US"/>
        </w:rPr>
        <w:t>са средњом стручном спремом</w:t>
      </w:r>
      <w:r w:rsidR="00775661" w:rsidRPr="00EB4CFD">
        <w:rPr>
          <w:rFonts w:asciiTheme="minorHAnsi" w:eastAsiaTheme="minorHAnsi" w:hAnsiTheme="minorHAnsi"/>
          <w:color w:val="auto"/>
          <w:sz w:val="20"/>
          <w:szCs w:val="20"/>
          <w:lang w:val="sr-Cyrl-RS" w:eastAsia="en-US"/>
        </w:rPr>
        <w:t>.</w:t>
      </w:r>
      <w:r w:rsidRPr="00EB4CFD">
        <w:rPr>
          <w:rFonts w:asciiTheme="minorHAnsi" w:eastAsiaTheme="minorHAnsi" w:hAnsiTheme="minorHAnsi"/>
          <w:color w:val="auto"/>
          <w:sz w:val="20"/>
          <w:szCs w:val="20"/>
          <w:lang w:val="sr-Cyrl-RS" w:eastAsia="en-US"/>
        </w:rPr>
        <w:t xml:space="preserve"> </w:t>
      </w:r>
    </w:p>
    <w:p w14:paraId="4724FCC0" w14:textId="77777777" w:rsidR="001538EF" w:rsidRPr="00775661" w:rsidRDefault="001538EF" w:rsidP="001538EF">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Извјештавање о раду Гарантног фонда РС регулисано је одредбама Закона, а сви</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органи посредно или непосредно подносе своје извјештаје о раду и дјеловању</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Скупштини акционара.</w:t>
      </w:r>
    </w:p>
    <w:p w14:paraId="7101290A" w14:textId="77777777" w:rsidR="001538EF" w:rsidRPr="005767EF" w:rsidRDefault="001538EF" w:rsidP="00FE0E1B">
      <w:pPr>
        <w:autoSpaceDE w:val="0"/>
        <w:autoSpaceDN w:val="0"/>
        <w:adjustRightInd w:val="0"/>
        <w:rPr>
          <w:rFonts w:asciiTheme="minorHAnsi" w:eastAsiaTheme="minorHAnsi" w:hAnsiTheme="minorHAnsi"/>
          <w:color w:val="FF0000"/>
          <w:sz w:val="20"/>
          <w:szCs w:val="20"/>
          <w:lang w:val="sr-Cyrl-BA" w:eastAsia="en-US"/>
        </w:rPr>
      </w:pPr>
    </w:p>
    <w:p w14:paraId="549055EC" w14:textId="77777777" w:rsidR="001538EF" w:rsidRPr="005767EF" w:rsidRDefault="00E84021" w:rsidP="00266AB6">
      <w:pPr>
        <w:pStyle w:val="Heading1"/>
        <w:numPr>
          <w:ilvl w:val="0"/>
          <w:numId w:val="0"/>
        </w:numPr>
        <w:rPr>
          <w:rFonts w:asciiTheme="minorHAnsi" w:eastAsiaTheme="minorHAnsi" w:hAnsiTheme="minorHAnsi"/>
        </w:rPr>
      </w:pPr>
      <w:bookmarkStart w:id="3" w:name="_Toc135292168"/>
      <w:r>
        <w:rPr>
          <w:rFonts w:asciiTheme="minorHAnsi" w:eastAsiaTheme="minorHAnsi" w:hAnsiTheme="minorHAnsi"/>
          <w:lang w:val="sr-Cyrl-RS"/>
        </w:rPr>
        <w:t>2</w:t>
      </w:r>
      <w:r w:rsidR="00266AB6">
        <w:rPr>
          <w:rFonts w:asciiTheme="minorHAnsi" w:eastAsiaTheme="minorHAnsi" w:hAnsiTheme="minorHAnsi"/>
          <w:lang w:val="sr-Cyrl-RS"/>
        </w:rPr>
        <w:t xml:space="preserve">.         </w:t>
      </w:r>
      <w:r w:rsidR="001538EF" w:rsidRPr="005767EF">
        <w:rPr>
          <w:rFonts w:asciiTheme="minorHAnsi" w:eastAsiaTheme="minorHAnsi" w:hAnsiTheme="minorHAnsi"/>
        </w:rPr>
        <w:t>АНАЛИЗА ИЗДАНИХ ГАРАНЦИЈА У 202</w:t>
      </w:r>
      <w:r w:rsidR="001538EF" w:rsidRPr="005767EF">
        <w:rPr>
          <w:rFonts w:asciiTheme="minorHAnsi" w:eastAsiaTheme="minorHAnsi" w:hAnsiTheme="minorHAnsi"/>
          <w:lang w:val="sr-Cyrl-BA"/>
        </w:rPr>
        <w:t>3</w:t>
      </w:r>
      <w:r w:rsidR="001538EF" w:rsidRPr="005767EF">
        <w:rPr>
          <w:rFonts w:asciiTheme="minorHAnsi" w:eastAsiaTheme="minorHAnsi" w:hAnsiTheme="minorHAnsi"/>
        </w:rPr>
        <w:t>. ГОДИНИ</w:t>
      </w:r>
      <w:bookmarkEnd w:id="3"/>
    </w:p>
    <w:p w14:paraId="403D3126" w14:textId="77777777" w:rsidR="001538EF" w:rsidRPr="005D0BE8" w:rsidRDefault="00E84021" w:rsidP="00775661">
      <w:pPr>
        <w:pStyle w:val="Heading2"/>
        <w:numPr>
          <w:ilvl w:val="0"/>
          <w:numId w:val="0"/>
        </w:numPr>
        <w:rPr>
          <w:rFonts w:asciiTheme="minorHAnsi" w:hAnsiTheme="minorHAnsi"/>
          <w:szCs w:val="20"/>
        </w:rPr>
      </w:pPr>
      <w:bookmarkStart w:id="4" w:name="_Toc514323447"/>
      <w:bookmarkStart w:id="5" w:name="_Toc135292169"/>
      <w:r w:rsidRPr="005D0BE8">
        <w:rPr>
          <w:rFonts w:asciiTheme="minorHAnsi" w:hAnsiTheme="minorHAnsi"/>
          <w:szCs w:val="20"/>
          <w:lang w:val="sr-Cyrl-RS"/>
        </w:rPr>
        <w:t>2</w:t>
      </w:r>
      <w:r w:rsidR="00775661" w:rsidRPr="005D0BE8">
        <w:rPr>
          <w:rFonts w:asciiTheme="minorHAnsi" w:hAnsiTheme="minorHAnsi"/>
          <w:szCs w:val="20"/>
          <w:lang w:val="sr-Cyrl-RS"/>
        </w:rPr>
        <w:t xml:space="preserve">.1.   </w:t>
      </w:r>
      <w:r w:rsidR="001538EF" w:rsidRPr="005D0BE8">
        <w:rPr>
          <w:rFonts w:asciiTheme="minorHAnsi" w:hAnsiTheme="minorHAnsi"/>
          <w:szCs w:val="20"/>
        </w:rPr>
        <w:t xml:space="preserve">АНАЛИЗА ИЗДАНИХ ГАРАНЦИЈА У </w:t>
      </w:r>
      <w:r w:rsidR="000C2D2F" w:rsidRPr="005D0BE8">
        <w:rPr>
          <w:rFonts w:asciiTheme="minorHAnsi" w:hAnsiTheme="minorHAnsi"/>
          <w:szCs w:val="20"/>
          <w:lang w:val="sr-Cyrl-RS"/>
        </w:rPr>
        <w:t xml:space="preserve">ОКВИРУ ГАРАНТНИХ ЛИНИЈА </w:t>
      </w:r>
      <w:r w:rsidR="001538EF" w:rsidRPr="005D0BE8">
        <w:rPr>
          <w:rFonts w:asciiTheme="minorHAnsi" w:hAnsiTheme="minorHAnsi"/>
          <w:szCs w:val="20"/>
        </w:rPr>
        <w:t>У ПЕРИОДУ 01.01.202</w:t>
      </w:r>
      <w:r w:rsidR="00F53A19" w:rsidRPr="005D0BE8">
        <w:rPr>
          <w:rFonts w:asciiTheme="minorHAnsi" w:hAnsiTheme="minorHAnsi"/>
          <w:szCs w:val="20"/>
          <w:lang w:val="bs-Latn-BA"/>
        </w:rPr>
        <w:t>3</w:t>
      </w:r>
      <w:r w:rsidR="001538EF" w:rsidRPr="005D0BE8">
        <w:rPr>
          <w:rFonts w:asciiTheme="minorHAnsi" w:hAnsiTheme="minorHAnsi"/>
          <w:szCs w:val="20"/>
        </w:rPr>
        <w:t>. - 31.12.202</w:t>
      </w:r>
      <w:r w:rsidR="00F53A19" w:rsidRPr="005D0BE8">
        <w:rPr>
          <w:rFonts w:asciiTheme="minorHAnsi" w:hAnsiTheme="minorHAnsi"/>
          <w:szCs w:val="20"/>
          <w:lang w:val="bs-Latn-BA"/>
        </w:rPr>
        <w:t>3</w:t>
      </w:r>
      <w:r w:rsidR="001538EF" w:rsidRPr="005D0BE8">
        <w:rPr>
          <w:rFonts w:asciiTheme="minorHAnsi" w:hAnsiTheme="minorHAnsi"/>
          <w:szCs w:val="20"/>
        </w:rPr>
        <w:t>. ГОДИНЕ</w:t>
      </w:r>
      <w:bookmarkEnd w:id="4"/>
      <w:bookmarkEnd w:id="5"/>
    </w:p>
    <w:p w14:paraId="069366A9" w14:textId="77777777" w:rsidR="001538EF" w:rsidRPr="005767EF" w:rsidRDefault="001538EF" w:rsidP="001538EF">
      <w:pPr>
        <w:ind w:firstLine="567"/>
        <w:rPr>
          <w:rFonts w:asciiTheme="minorHAnsi" w:hAnsiTheme="minorHAnsi"/>
          <w:noProof/>
          <w:sz w:val="20"/>
          <w:szCs w:val="20"/>
          <w:lang w:val="sr-Cyrl-RS"/>
        </w:rPr>
      </w:pPr>
    </w:p>
    <w:p w14:paraId="5FD60B6D" w14:textId="77777777" w:rsidR="001538EF" w:rsidRPr="005767EF" w:rsidRDefault="001538EF" w:rsidP="001538EF">
      <w:pPr>
        <w:rPr>
          <w:rFonts w:asciiTheme="minorHAnsi" w:hAnsiTheme="minorHAnsi"/>
          <w:noProof/>
          <w:sz w:val="20"/>
          <w:szCs w:val="20"/>
        </w:rPr>
      </w:pPr>
      <w:r w:rsidRPr="005767EF">
        <w:rPr>
          <w:rFonts w:asciiTheme="minorHAnsi" w:hAnsiTheme="minorHAnsi"/>
          <w:noProof/>
          <w:sz w:val="20"/>
          <w:szCs w:val="20"/>
          <w:lang w:val="sr-Cyrl-RS"/>
        </w:rPr>
        <w:t>Одредбама члана 3 Правилника о одобравању гаранција   („Службени гласник Републике Српске“, број 14</w:t>
      </w:r>
      <w:r w:rsidRPr="005767EF">
        <w:rPr>
          <w:rFonts w:asciiTheme="minorHAnsi" w:hAnsiTheme="minorHAnsi"/>
          <w:noProof/>
          <w:sz w:val="20"/>
          <w:szCs w:val="20"/>
        </w:rPr>
        <w:t>/</w:t>
      </w:r>
      <w:r w:rsidRPr="005767EF">
        <w:rPr>
          <w:rFonts w:asciiTheme="minorHAnsi" w:hAnsiTheme="minorHAnsi"/>
          <w:noProof/>
          <w:sz w:val="20"/>
          <w:szCs w:val="20"/>
          <w:lang w:val="sr-Cyrl-BA"/>
        </w:rPr>
        <w:t>21</w:t>
      </w:r>
      <w:r w:rsidRPr="005767EF">
        <w:rPr>
          <w:rFonts w:asciiTheme="minorHAnsi" w:hAnsiTheme="minorHAnsi"/>
          <w:noProof/>
          <w:sz w:val="20"/>
          <w:szCs w:val="20"/>
          <w:lang w:val="sr-Cyrl-RS"/>
        </w:rPr>
        <w:t>) одређене су следеће врсте гарантних линија по којима се одобравају гаранције:</w:t>
      </w:r>
    </w:p>
    <w:p w14:paraId="318150FB" w14:textId="77777777" w:rsidR="001538EF" w:rsidRPr="005767EF" w:rsidRDefault="001538EF" w:rsidP="001538EF">
      <w:pPr>
        <w:ind w:firstLine="567"/>
        <w:rPr>
          <w:rFonts w:asciiTheme="minorHAnsi" w:hAnsiTheme="minorHAnsi"/>
          <w:noProof/>
          <w:sz w:val="20"/>
          <w:szCs w:val="20"/>
        </w:rPr>
      </w:pPr>
    </w:p>
    <w:p w14:paraId="490C74BD" w14:textId="7777777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Гарантна линија за</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 xml:space="preserve">почетне пословне активности </w:t>
      </w:r>
      <w:r w:rsidRPr="005767EF">
        <w:rPr>
          <w:rFonts w:asciiTheme="minorHAnsi" w:hAnsiTheme="minorHAnsi"/>
          <w:noProof/>
          <w:sz w:val="20"/>
          <w:szCs w:val="20"/>
          <w:lang w:val="sr-Cyrl-RS"/>
        </w:rPr>
        <w:t>(</w:t>
      </w:r>
      <w:r w:rsidRPr="005767EF">
        <w:rPr>
          <w:rFonts w:asciiTheme="minorHAnsi" w:hAnsiTheme="minorHAnsi"/>
          <w:noProof/>
          <w:sz w:val="20"/>
          <w:szCs w:val="20"/>
        </w:rPr>
        <w:t>start-up</w:t>
      </w:r>
      <w:r w:rsidRPr="005767EF">
        <w:rPr>
          <w:rFonts w:asciiTheme="minorHAnsi" w:hAnsiTheme="minorHAnsi"/>
          <w:noProof/>
          <w:sz w:val="20"/>
          <w:szCs w:val="20"/>
          <w:lang w:val="sr-Cyrl-BA"/>
        </w:rPr>
        <w:t>)</w:t>
      </w:r>
      <w:r w:rsidRPr="005767EF">
        <w:rPr>
          <w:rFonts w:asciiTheme="minorHAnsi" w:hAnsiTheme="minorHAnsi"/>
          <w:noProof/>
          <w:sz w:val="20"/>
          <w:szCs w:val="20"/>
          <w:lang w:val="sr-Cyrl-RS"/>
        </w:rPr>
        <w:t xml:space="preserve"> – корисници: </w:t>
      </w:r>
      <w:r w:rsidRPr="005767EF">
        <w:rPr>
          <w:rFonts w:asciiTheme="minorHAnsi" w:hAnsiTheme="minorHAnsi"/>
          <w:noProof/>
          <w:sz w:val="20"/>
          <w:szCs w:val="20"/>
          <w:lang w:val="sr-Cyrl-BA"/>
        </w:rPr>
        <w:t>п</w:t>
      </w:r>
      <w:r w:rsidRPr="005767EF">
        <w:rPr>
          <w:rFonts w:asciiTheme="minorHAnsi" w:hAnsiTheme="minorHAnsi"/>
          <w:noProof/>
          <w:sz w:val="20"/>
          <w:szCs w:val="20"/>
          <w:lang w:val="sr-Cyrl-RS" w:eastAsia="en-US"/>
        </w:rPr>
        <w:t>редузетници и правна лица која обављају регистровану дјелатност у циљу стицања добити не дуже од 1</w:t>
      </w:r>
      <w:r w:rsidRPr="005767EF">
        <w:rPr>
          <w:rFonts w:asciiTheme="minorHAnsi" w:hAnsiTheme="minorHAnsi"/>
          <w:noProof/>
          <w:sz w:val="20"/>
          <w:szCs w:val="20"/>
          <w:lang w:eastAsia="en-US"/>
        </w:rPr>
        <w:t>2</w:t>
      </w:r>
      <w:r w:rsidRPr="005767EF">
        <w:rPr>
          <w:rFonts w:asciiTheme="minorHAnsi" w:hAnsiTheme="minorHAnsi"/>
          <w:noProof/>
          <w:sz w:val="20"/>
          <w:szCs w:val="20"/>
          <w:lang w:val="sr-Cyrl-RS" w:eastAsia="en-US"/>
        </w:rPr>
        <w:t xml:space="preserve"> мјесеци</w:t>
      </w:r>
      <w:r w:rsidRPr="005767EF">
        <w:rPr>
          <w:rFonts w:asciiTheme="minorHAnsi" w:hAnsiTheme="minorHAnsi"/>
          <w:noProof/>
          <w:sz w:val="20"/>
          <w:szCs w:val="20"/>
          <w:lang w:val="sr-Cyrl-RS"/>
        </w:rPr>
        <w:t xml:space="preserve"> </w:t>
      </w:r>
    </w:p>
    <w:p w14:paraId="7DE76267" w14:textId="7777777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Гарантна линија за регистрована пољопривредна газдинства – корисници: л</w:t>
      </w:r>
      <w:r w:rsidRPr="005767EF">
        <w:rPr>
          <w:rFonts w:asciiTheme="minorHAnsi" w:hAnsiTheme="minorHAnsi"/>
          <w:noProof/>
          <w:sz w:val="20"/>
          <w:szCs w:val="20"/>
          <w:lang w:val="sr-Cyrl-RS" w:eastAsia="en-US"/>
        </w:rPr>
        <w:t>ица која су уписана у Регистар пољопривредних газдинстава код АПИФ-а</w:t>
      </w:r>
      <w:r w:rsidRPr="005767EF">
        <w:rPr>
          <w:rFonts w:asciiTheme="minorHAnsi" w:hAnsiTheme="minorHAnsi"/>
          <w:noProof/>
          <w:sz w:val="20"/>
          <w:szCs w:val="20"/>
          <w:lang w:val="sr-Cyrl-RS"/>
        </w:rPr>
        <w:t xml:space="preserve"> </w:t>
      </w:r>
    </w:p>
    <w:p w14:paraId="30B71144" w14:textId="7777777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Гарантна линија за предузетнике – корисници: п</w:t>
      </w:r>
      <w:r w:rsidRPr="005767EF">
        <w:rPr>
          <w:rFonts w:asciiTheme="minorHAnsi" w:hAnsiTheme="minorHAnsi"/>
          <w:noProof/>
          <w:sz w:val="20"/>
          <w:szCs w:val="20"/>
          <w:lang w:val="sr-Cyrl-RS" w:eastAsia="en-US"/>
        </w:rPr>
        <w:t>редузетници који обављају регистровану дјелатност у циљу стицања добити</w:t>
      </w:r>
    </w:p>
    <w:p w14:paraId="7A1E1D50" w14:textId="7777777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Гарантна линија за пољопривреду – корисници: п</w:t>
      </w:r>
      <w:r w:rsidRPr="005767EF">
        <w:rPr>
          <w:rFonts w:asciiTheme="minorHAnsi" w:hAnsiTheme="minorHAnsi"/>
          <w:noProof/>
          <w:sz w:val="20"/>
          <w:szCs w:val="20"/>
          <w:lang w:val="sr-Cyrl-RS" w:eastAsia="en-US"/>
        </w:rPr>
        <w:t xml:space="preserve">равна лица која се баве производњом и прерадом у пољопривреди или рибарству </w:t>
      </w:r>
      <w:r w:rsidRPr="005767EF">
        <w:rPr>
          <w:rFonts w:asciiTheme="minorHAnsi" w:hAnsiTheme="minorHAnsi"/>
          <w:noProof/>
          <w:sz w:val="20"/>
          <w:szCs w:val="20"/>
          <w:lang w:val="sr-Cyrl-RS"/>
        </w:rPr>
        <w:t xml:space="preserve"> </w:t>
      </w:r>
    </w:p>
    <w:p w14:paraId="70578E6E" w14:textId="757EF5D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 xml:space="preserve">Гарантна линија за привредна друштва – корисници: </w:t>
      </w:r>
      <w:r w:rsidR="00CD7AC0">
        <w:rPr>
          <w:rFonts w:asciiTheme="minorHAnsi" w:hAnsiTheme="minorHAnsi"/>
          <w:noProof/>
          <w:sz w:val="20"/>
          <w:szCs w:val="20"/>
          <w:lang w:val="sr-Cyrl-BA" w:eastAsia="en-US"/>
        </w:rPr>
        <w:t>пр</w:t>
      </w:r>
      <w:r w:rsidRPr="005767EF">
        <w:rPr>
          <w:rFonts w:asciiTheme="minorHAnsi" w:hAnsiTheme="minorHAnsi"/>
          <w:noProof/>
          <w:sz w:val="20"/>
          <w:szCs w:val="20"/>
          <w:lang w:val="sr-Cyrl-RS" w:eastAsia="en-US"/>
        </w:rPr>
        <w:t>авна лица која обављају регистровану дјелатност у циљу стицања добити</w:t>
      </w:r>
    </w:p>
    <w:p w14:paraId="6A000247" w14:textId="77777777" w:rsidR="001538EF" w:rsidRPr="005767EF" w:rsidRDefault="001538EF" w:rsidP="001538EF">
      <w:pPr>
        <w:numPr>
          <w:ilvl w:val="0"/>
          <w:numId w:val="7"/>
        </w:numPr>
        <w:rPr>
          <w:rFonts w:asciiTheme="minorHAnsi" w:hAnsiTheme="minorHAnsi"/>
          <w:noProof/>
          <w:sz w:val="20"/>
          <w:szCs w:val="20"/>
          <w:lang w:val="sr-Cyrl-RS"/>
        </w:rPr>
      </w:pPr>
      <w:r w:rsidRPr="005767EF">
        <w:rPr>
          <w:rFonts w:asciiTheme="minorHAnsi" w:hAnsiTheme="minorHAnsi"/>
          <w:noProof/>
          <w:sz w:val="20"/>
          <w:szCs w:val="20"/>
          <w:lang w:val="sr-Cyrl-RS"/>
        </w:rPr>
        <w:t>Гарантна линија за подршку извозу - п</w:t>
      </w:r>
      <w:r w:rsidRPr="005767EF">
        <w:rPr>
          <w:rFonts w:asciiTheme="minorHAnsi" w:hAnsiTheme="minorHAnsi"/>
          <w:noProof/>
          <w:sz w:val="20"/>
          <w:szCs w:val="20"/>
          <w:lang w:val="sr-Cyrl-RS" w:eastAsia="en-US"/>
        </w:rPr>
        <w:t>равна лица која обављају извоз</w:t>
      </w:r>
    </w:p>
    <w:p w14:paraId="1D64426D" w14:textId="77777777" w:rsidR="001538EF" w:rsidRPr="005767EF" w:rsidRDefault="001538EF" w:rsidP="001538EF">
      <w:pPr>
        <w:spacing w:after="100" w:afterAutospacing="1"/>
        <w:ind w:left="360"/>
        <w:rPr>
          <w:rFonts w:asciiTheme="minorHAnsi" w:hAnsiTheme="minorHAnsi"/>
          <w:sz w:val="20"/>
          <w:szCs w:val="20"/>
          <w:lang w:val="sr-Cyrl-BA"/>
        </w:rPr>
      </w:pPr>
    </w:p>
    <w:p w14:paraId="2A5500E7" w14:textId="77777777" w:rsidR="001538EF" w:rsidRPr="005767EF" w:rsidRDefault="001538EF" w:rsidP="001538EF">
      <w:pPr>
        <w:spacing w:after="100" w:afterAutospacing="1"/>
        <w:rPr>
          <w:rFonts w:asciiTheme="minorHAnsi" w:hAnsiTheme="minorHAnsi"/>
          <w:sz w:val="20"/>
          <w:szCs w:val="20"/>
        </w:rPr>
      </w:pPr>
      <w:r w:rsidRPr="005767EF">
        <w:rPr>
          <w:rFonts w:asciiTheme="minorHAnsi" w:hAnsiTheme="minorHAnsi"/>
          <w:sz w:val="20"/>
          <w:szCs w:val="20"/>
          <w:lang w:val="sr-Cyrl-BA"/>
        </w:rPr>
        <w:t>Поред наведеног постоје посебним одлукама Скупштине акционара уведене су и слиједеће гарантне линије за почетне пословне активности:</w:t>
      </w:r>
    </w:p>
    <w:p w14:paraId="1A106554" w14:textId="77777777" w:rsidR="001538EF" w:rsidRPr="005767EF" w:rsidRDefault="001538EF" w:rsidP="001538EF">
      <w:pPr>
        <w:pStyle w:val="ListParagraph"/>
        <w:numPr>
          <w:ilvl w:val="0"/>
          <w:numId w:val="8"/>
        </w:numPr>
        <w:spacing w:after="100" w:afterAutospacing="1"/>
        <w:rPr>
          <w:rFonts w:asciiTheme="minorHAnsi" w:hAnsiTheme="minorHAnsi"/>
          <w:sz w:val="20"/>
          <w:szCs w:val="20"/>
        </w:rPr>
      </w:pPr>
      <w:r w:rsidRPr="005767EF">
        <w:rPr>
          <w:rFonts w:asciiTheme="minorHAnsi" w:hAnsiTheme="minorHAnsi"/>
          <w:sz w:val="20"/>
          <w:szCs w:val="20"/>
          <w:lang w:val="sr-Cyrl-BA"/>
        </w:rPr>
        <w:t>Гарантна линија за почетне пословне активности на подручју развоја информационо-комуникационих технологија</w:t>
      </w:r>
    </w:p>
    <w:p w14:paraId="020BFEF7" w14:textId="77777777" w:rsidR="001538EF" w:rsidRPr="005767EF" w:rsidRDefault="001538EF" w:rsidP="001538EF">
      <w:pPr>
        <w:pStyle w:val="ListParagraph"/>
        <w:numPr>
          <w:ilvl w:val="0"/>
          <w:numId w:val="8"/>
        </w:numPr>
        <w:spacing w:after="100" w:afterAutospacing="1"/>
        <w:rPr>
          <w:rFonts w:asciiTheme="minorHAnsi" w:hAnsiTheme="minorHAnsi"/>
          <w:sz w:val="20"/>
          <w:szCs w:val="20"/>
        </w:rPr>
      </w:pPr>
      <w:r w:rsidRPr="005767EF">
        <w:rPr>
          <w:rFonts w:asciiTheme="minorHAnsi" w:hAnsiTheme="minorHAnsi"/>
          <w:sz w:val="20"/>
          <w:szCs w:val="20"/>
          <w:lang w:val="sr-Cyrl-BA"/>
        </w:rPr>
        <w:t>Гарантна линија за почетне пословне активности на подручју развоја сеоског ловног и еко туризма</w:t>
      </w:r>
      <w:r w:rsidRPr="005767EF">
        <w:rPr>
          <w:rFonts w:asciiTheme="minorHAnsi" w:hAnsiTheme="minorHAnsi"/>
          <w:sz w:val="20"/>
          <w:szCs w:val="20"/>
        </w:rPr>
        <w:t xml:space="preserve"> </w:t>
      </w:r>
    </w:p>
    <w:p w14:paraId="21410D18" w14:textId="77777777" w:rsidR="001538EF" w:rsidRPr="005767EF" w:rsidRDefault="001538EF" w:rsidP="001538EF">
      <w:pPr>
        <w:pStyle w:val="ListParagraph"/>
        <w:numPr>
          <w:ilvl w:val="0"/>
          <w:numId w:val="8"/>
        </w:numPr>
        <w:spacing w:after="100" w:afterAutospacing="1"/>
        <w:rPr>
          <w:rFonts w:asciiTheme="minorHAnsi" w:hAnsiTheme="minorHAnsi"/>
          <w:sz w:val="20"/>
          <w:szCs w:val="20"/>
        </w:rPr>
      </w:pPr>
      <w:r w:rsidRPr="005767EF">
        <w:rPr>
          <w:rFonts w:asciiTheme="minorHAnsi" w:hAnsiTheme="minorHAnsi"/>
          <w:sz w:val="20"/>
          <w:szCs w:val="20"/>
          <w:lang w:val="sr-Cyrl-BA"/>
        </w:rPr>
        <w:t xml:space="preserve">Гарантна линија за почетне пословне активности у сектору узгоја и прераде јагодичастог воћа </w:t>
      </w:r>
    </w:p>
    <w:p w14:paraId="57A01083" w14:textId="77777777" w:rsidR="001538EF" w:rsidRPr="005767EF" w:rsidRDefault="001538EF" w:rsidP="001538EF">
      <w:pPr>
        <w:pStyle w:val="ListParagraph"/>
        <w:numPr>
          <w:ilvl w:val="0"/>
          <w:numId w:val="8"/>
        </w:numPr>
        <w:spacing w:after="100" w:afterAutospacing="1"/>
        <w:rPr>
          <w:rFonts w:asciiTheme="minorHAnsi" w:hAnsiTheme="minorHAnsi"/>
          <w:sz w:val="20"/>
          <w:szCs w:val="20"/>
        </w:rPr>
      </w:pPr>
      <w:r w:rsidRPr="005767EF">
        <w:rPr>
          <w:rFonts w:asciiTheme="minorHAnsi" w:hAnsiTheme="minorHAnsi"/>
          <w:sz w:val="20"/>
          <w:szCs w:val="20"/>
          <w:lang w:val="sr-Cyrl-BA"/>
        </w:rPr>
        <w:t>Гарантна линија за почетне пословне активности у области говедарства, овчарства, козарства и свињарства</w:t>
      </w:r>
      <w:r w:rsidRPr="005767EF">
        <w:rPr>
          <w:rFonts w:asciiTheme="minorHAnsi" w:hAnsiTheme="minorHAnsi"/>
          <w:sz w:val="20"/>
          <w:szCs w:val="20"/>
        </w:rPr>
        <w:t xml:space="preserve"> </w:t>
      </w:r>
    </w:p>
    <w:p w14:paraId="32A64450" w14:textId="77777777" w:rsidR="001538EF" w:rsidRPr="005767EF" w:rsidRDefault="001538EF" w:rsidP="001538EF">
      <w:pPr>
        <w:spacing w:after="100" w:afterAutospacing="1"/>
        <w:rPr>
          <w:rFonts w:asciiTheme="minorHAnsi" w:hAnsiTheme="minorHAnsi"/>
          <w:sz w:val="20"/>
          <w:szCs w:val="20"/>
        </w:rPr>
      </w:pPr>
      <w:r w:rsidRPr="005767EF">
        <w:rPr>
          <w:rFonts w:asciiTheme="minorHAnsi" w:hAnsiTheme="minorHAnsi"/>
          <w:sz w:val="20"/>
          <w:szCs w:val="20"/>
          <w:lang w:val="sr-Cyrl-BA"/>
        </w:rPr>
        <w:t>Са Банком Поштанска штедионица ад Бања Лука, која је правни слиједник Комерцијалне банке ад Бања Лука на снази су и уговори за посебне гарантно-кредитне линије и то :</w:t>
      </w:r>
    </w:p>
    <w:p w14:paraId="2F9778EC" w14:textId="77777777" w:rsidR="001538EF" w:rsidRPr="005767EF" w:rsidRDefault="001538EF" w:rsidP="001538EF">
      <w:pPr>
        <w:pStyle w:val="ListParagraph"/>
        <w:numPr>
          <w:ilvl w:val="0"/>
          <w:numId w:val="9"/>
        </w:numPr>
        <w:spacing w:after="100" w:afterAutospacing="1"/>
        <w:rPr>
          <w:rFonts w:asciiTheme="minorHAnsi" w:hAnsiTheme="minorHAnsi"/>
          <w:sz w:val="20"/>
          <w:szCs w:val="20"/>
          <w:lang w:val="sr-Cyrl-BA"/>
        </w:rPr>
      </w:pPr>
      <w:r w:rsidRPr="005767EF">
        <w:rPr>
          <w:rFonts w:asciiTheme="minorHAnsi" w:hAnsiTheme="minorHAnsi"/>
          <w:sz w:val="20"/>
          <w:szCs w:val="20"/>
          <w:lang w:val="sr-Cyrl-BA"/>
        </w:rPr>
        <w:t>Посебна гарантно-кредитна линија за подстицај развоја привредних субјеката</w:t>
      </w:r>
    </w:p>
    <w:p w14:paraId="6106B0A0" w14:textId="77777777" w:rsidR="001538EF" w:rsidRPr="005767EF" w:rsidRDefault="001538EF" w:rsidP="001538EF">
      <w:pPr>
        <w:pStyle w:val="ListParagraph"/>
        <w:numPr>
          <w:ilvl w:val="0"/>
          <w:numId w:val="9"/>
        </w:numPr>
        <w:autoSpaceDE w:val="0"/>
        <w:autoSpaceDN w:val="0"/>
        <w:adjustRightInd w:val="0"/>
        <w:spacing w:after="100" w:afterAutospacing="1"/>
        <w:rPr>
          <w:rFonts w:asciiTheme="minorHAnsi" w:eastAsiaTheme="minorHAnsi" w:hAnsiTheme="minorHAnsi"/>
          <w:color w:val="auto"/>
          <w:sz w:val="20"/>
          <w:szCs w:val="20"/>
          <w:lang w:val="sr-Cyrl-BA" w:eastAsia="en-US"/>
        </w:rPr>
      </w:pPr>
      <w:r w:rsidRPr="005767EF">
        <w:rPr>
          <w:rFonts w:asciiTheme="minorHAnsi" w:hAnsiTheme="minorHAnsi"/>
          <w:sz w:val="20"/>
          <w:szCs w:val="20"/>
          <w:lang w:val="sr-Cyrl-BA"/>
        </w:rPr>
        <w:t xml:space="preserve">Посебна ГКЛ за пољопривреду </w:t>
      </w:r>
    </w:p>
    <w:p w14:paraId="58B2E17C"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61813972"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3585BDBB"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66CC7750" w14:textId="77777777" w:rsidR="00F53A19" w:rsidRDefault="00F53A19" w:rsidP="001538EF">
      <w:pPr>
        <w:autoSpaceDE w:val="0"/>
        <w:autoSpaceDN w:val="0"/>
        <w:adjustRightInd w:val="0"/>
        <w:rPr>
          <w:rFonts w:asciiTheme="minorHAnsi" w:eastAsiaTheme="minorHAnsi" w:hAnsiTheme="minorHAnsi"/>
          <w:color w:val="auto"/>
          <w:sz w:val="20"/>
          <w:szCs w:val="20"/>
          <w:lang w:val="sr-Cyrl-RS" w:eastAsia="en-US"/>
        </w:rPr>
      </w:pPr>
    </w:p>
    <w:p w14:paraId="4D0A23BC"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1909BDD0"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25C3983A"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5BB39D5E"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14A9171D"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5E85F98"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2EA81C91"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025CB20F"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9279296"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E2F539F"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8A7BE0C"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1632B08C" w14:textId="77777777" w:rsidR="005767EF" w:rsidRP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1ABAAB3" w14:textId="77777777" w:rsidR="001538EF" w:rsidRPr="000C2D2F" w:rsidRDefault="005767EF" w:rsidP="005767EF">
      <w:pPr>
        <w:pStyle w:val="ListParagraph"/>
        <w:autoSpaceDE w:val="0"/>
        <w:autoSpaceDN w:val="0"/>
        <w:adjustRightInd w:val="0"/>
        <w:ind w:left="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У табели 1 су приказани подаци о изданим</w:t>
      </w:r>
      <w:r w:rsidR="000C2D2F">
        <w:rPr>
          <w:rFonts w:asciiTheme="minorHAnsi" w:eastAsiaTheme="minorHAnsi" w:hAnsiTheme="minorHAnsi"/>
          <w:color w:val="auto"/>
          <w:sz w:val="20"/>
          <w:szCs w:val="20"/>
          <w:lang w:val="sr-Cyrl-RS" w:eastAsia="en-US"/>
        </w:rPr>
        <w:t xml:space="preserve"> појединачним</w:t>
      </w:r>
      <w:r w:rsidRPr="005767EF">
        <w:rPr>
          <w:rFonts w:asciiTheme="minorHAnsi" w:eastAsiaTheme="minorHAnsi" w:hAnsiTheme="minorHAnsi"/>
          <w:color w:val="auto"/>
          <w:sz w:val="20"/>
          <w:szCs w:val="20"/>
          <w:lang w:eastAsia="en-US"/>
        </w:rPr>
        <w:t xml:space="preserve"> гаранцијама у 2023. години</w:t>
      </w:r>
      <w:r w:rsidR="00091285">
        <w:rPr>
          <w:rFonts w:asciiTheme="minorHAnsi" w:eastAsiaTheme="minorHAnsi" w:hAnsiTheme="minorHAnsi"/>
          <w:color w:val="auto"/>
          <w:sz w:val="20"/>
          <w:szCs w:val="20"/>
          <w:lang w:eastAsia="en-US"/>
        </w:rPr>
        <w:t>,</w:t>
      </w:r>
      <w:r w:rsidRPr="005767EF">
        <w:rPr>
          <w:rFonts w:asciiTheme="minorHAnsi" w:eastAsiaTheme="minorHAnsi" w:hAnsiTheme="minorHAnsi"/>
          <w:color w:val="auto"/>
          <w:sz w:val="20"/>
          <w:szCs w:val="20"/>
          <w:lang w:eastAsia="en-US"/>
        </w:rPr>
        <w:t xml:space="preserve"> у складу са одредбама члана 3 Правилника о одобравању гаранција (Службени г</w:t>
      </w:r>
      <w:r w:rsidR="000C2D2F">
        <w:rPr>
          <w:rFonts w:asciiTheme="minorHAnsi" w:eastAsiaTheme="minorHAnsi" w:hAnsiTheme="minorHAnsi"/>
          <w:color w:val="auto"/>
          <w:sz w:val="20"/>
          <w:szCs w:val="20"/>
          <w:lang w:eastAsia="en-US"/>
        </w:rPr>
        <w:t>ласник Републике Српске 14/21)</w:t>
      </w:r>
      <w:r w:rsidR="00091285">
        <w:rPr>
          <w:rFonts w:asciiTheme="minorHAnsi" w:eastAsiaTheme="minorHAnsi" w:hAnsiTheme="minorHAnsi"/>
          <w:color w:val="auto"/>
          <w:sz w:val="20"/>
          <w:szCs w:val="20"/>
          <w:lang w:eastAsia="en-US"/>
        </w:rPr>
        <w:t>.</w:t>
      </w:r>
      <w:r w:rsidR="000C2D2F">
        <w:rPr>
          <w:rFonts w:asciiTheme="minorHAnsi" w:eastAsiaTheme="minorHAnsi" w:hAnsiTheme="minorHAnsi"/>
          <w:color w:val="auto"/>
          <w:sz w:val="20"/>
          <w:szCs w:val="20"/>
          <w:lang w:eastAsia="en-US"/>
        </w:rPr>
        <w:t xml:space="preserve"> </w:t>
      </w:r>
    </w:p>
    <w:p w14:paraId="21C06594" w14:textId="77777777" w:rsidR="005767EF" w:rsidRPr="005767EF" w:rsidRDefault="005767EF" w:rsidP="00AD5361">
      <w:pPr>
        <w:pStyle w:val="ListParagraph"/>
        <w:autoSpaceDE w:val="0"/>
        <w:autoSpaceDN w:val="0"/>
        <w:adjustRightInd w:val="0"/>
        <w:ind w:left="0"/>
        <w:rPr>
          <w:rFonts w:asciiTheme="minorHAnsi" w:eastAsiaTheme="minorHAnsi" w:hAnsiTheme="minorHAnsi"/>
          <w:color w:val="auto"/>
          <w:sz w:val="20"/>
          <w:szCs w:val="20"/>
          <w:lang w:val="sr-Cyrl-RS" w:eastAsia="en-US"/>
        </w:rPr>
      </w:pP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828"/>
        <w:gridCol w:w="1275"/>
        <w:gridCol w:w="1560"/>
        <w:gridCol w:w="1417"/>
      </w:tblGrid>
      <w:tr w:rsidR="00AD5361" w:rsidRPr="005767EF" w14:paraId="7FE4B20D" w14:textId="77777777" w:rsidTr="00AD5361">
        <w:trPr>
          <w:trHeight w:val="441"/>
        </w:trPr>
        <w:tc>
          <w:tcPr>
            <w:tcW w:w="8755" w:type="dxa"/>
            <w:gridSpan w:val="5"/>
            <w:tcBorders>
              <w:top w:val="nil"/>
              <w:left w:val="nil"/>
              <w:bottom w:val="nil"/>
              <w:right w:val="nil"/>
            </w:tcBorders>
            <w:shd w:val="clear" w:color="000000" w:fill="FFFFFF"/>
          </w:tcPr>
          <w:p w14:paraId="6D059C5B" w14:textId="77777777" w:rsidR="00AD5361" w:rsidRDefault="00AD5361" w:rsidP="00AD5361">
            <w:pPr>
              <w:jc w:val="center"/>
              <w:rPr>
                <w:rFonts w:asciiTheme="minorHAnsi" w:hAnsiTheme="minorHAnsi"/>
                <w:bCs/>
                <w:sz w:val="20"/>
                <w:szCs w:val="20"/>
                <w:lang w:val="sr-Cyrl-RS" w:eastAsia="sr-Latn-RS"/>
              </w:rPr>
            </w:pPr>
            <w:r w:rsidRPr="005767EF">
              <w:rPr>
                <w:rFonts w:asciiTheme="minorHAnsi" w:hAnsiTheme="minorHAnsi"/>
                <w:b/>
                <w:bCs/>
                <w:color w:val="auto"/>
                <w:sz w:val="20"/>
                <w:szCs w:val="20"/>
                <w:lang w:val="sr-Latn-RS" w:eastAsia="sr-Latn-RS"/>
              </w:rPr>
              <w:t xml:space="preserve">Преглед изданих гаранција </w:t>
            </w:r>
            <w:r w:rsidRPr="005767EF">
              <w:rPr>
                <w:rFonts w:asciiTheme="minorHAnsi" w:hAnsiTheme="minorHAnsi"/>
                <w:b/>
                <w:bCs/>
                <w:color w:val="auto"/>
                <w:sz w:val="20"/>
                <w:szCs w:val="20"/>
                <w:lang w:val="sr-Cyrl-RS" w:eastAsia="sr-Latn-RS"/>
              </w:rPr>
              <w:t xml:space="preserve"> по гарантним линијама у</w:t>
            </w:r>
            <w:r w:rsidRPr="005767EF">
              <w:rPr>
                <w:rFonts w:asciiTheme="minorHAnsi" w:hAnsiTheme="minorHAnsi"/>
                <w:b/>
                <w:bCs/>
                <w:color w:val="auto"/>
                <w:sz w:val="20"/>
                <w:szCs w:val="20"/>
                <w:lang w:val="sr-Latn-RS" w:eastAsia="sr-Latn-RS"/>
              </w:rPr>
              <w:t xml:space="preserve"> период</w:t>
            </w:r>
            <w:r w:rsidRPr="005767EF">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01.01.2023. - 31.12.2023. године</w:t>
            </w:r>
            <w:r w:rsidRPr="005767EF">
              <w:rPr>
                <w:rFonts w:asciiTheme="minorHAnsi" w:hAnsiTheme="minorHAnsi"/>
                <w:b/>
                <w:bCs/>
                <w:color w:val="auto"/>
                <w:sz w:val="20"/>
                <w:szCs w:val="20"/>
                <w:lang w:val="sr-Cyrl-RS" w:eastAsia="sr-Latn-RS"/>
              </w:rPr>
              <w:t xml:space="preserve"> </w:t>
            </w:r>
            <w:r w:rsidRPr="005767EF">
              <w:rPr>
                <w:rFonts w:asciiTheme="minorHAnsi" w:hAnsiTheme="minorHAnsi"/>
                <w:b/>
                <w:bCs/>
                <w:sz w:val="20"/>
                <w:szCs w:val="20"/>
                <w:lang w:val="sr-Latn-RS" w:eastAsia="sr-Latn-RS"/>
              </w:rPr>
              <w:t xml:space="preserve">                                                                                                                                                                       </w:t>
            </w:r>
            <w:r w:rsidRPr="005767EF">
              <w:rPr>
                <w:rFonts w:asciiTheme="minorHAnsi" w:hAnsiTheme="minorHAnsi"/>
                <w:bCs/>
                <w:sz w:val="20"/>
                <w:szCs w:val="20"/>
                <w:lang w:val="sr-Latn-RS" w:eastAsia="sr-Latn-RS"/>
              </w:rPr>
              <w:t xml:space="preserve">   </w:t>
            </w:r>
            <w:r w:rsidRPr="005767EF">
              <w:rPr>
                <w:rFonts w:asciiTheme="minorHAnsi" w:hAnsiTheme="minorHAnsi"/>
                <w:bCs/>
                <w:sz w:val="20"/>
                <w:szCs w:val="20"/>
                <w:lang w:val="sr-Cyrl-RS" w:eastAsia="sr-Latn-RS"/>
              </w:rPr>
              <w:t xml:space="preserve">  </w:t>
            </w:r>
          </w:p>
          <w:p w14:paraId="0B4C34BD" w14:textId="77777777" w:rsidR="00AD5361" w:rsidRDefault="00AD5361" w:rsidP="00AD5361">
            <w:pPr>
              <w:jc w:val="center"/>
              <w:rPr>
                <w:rFonts w:asciiTheme="minorHAnsi" w:hAnsiTheme="minorHAnsi"/>
                <w:bCs/>
                <w:sz w:val="20"/>
                <w:szCs w:val="20"/>
                <w:lang w:val="sr-Cyrl-RS" w:eastAsia="sr-Latn-RS"/>
              </w:rPr>
            </w:pPr>
          </w:p>
          <w:p w14:paraId="058FFCDF" w14:textId="77777777" w:rsidR="00AD5361" w:rsidRPr="00AD5361" w:rsidRDefault="00AD5361" w:rsidP="00AD5361">
            <w:pPr>
              <w:jc w:val="right"/>
              <w:rPr>
                <w:rFonts w:asciiTheme="minorHAnsi" w:hAnsiTheme="minorHAnsi"/>
                <w:b/>
                <w:bCs/>
                <w:color w:val="auto"/>
                <w:sz w:val="20"/>
                <w:szCs w:val="20"/>
                <w:lang w:val="sr-Cyrl-RS" w:eastAsia="sr-Latn-RS"/>
              </w:rPr>
            </w:pPr>
            <w:r>
              <w:rPr>
                <w:rFonts w:asciiTheme="minorHAnsi" w:hAnsiTheme="minorHAnsi"/>
                <w:bCs/>
                <w:sz w:val="20"/>
                <w:szCs w:val="20"/>
                <w:lang w:val="sr-Cyrl-RS" w:eastAsia="sr-Latn-RS"/>
              </w:rPr>
              <w:t xml:space="preserve">  </w:t>
            </w:r>
            <w:r w:rsidRPr="005767EF">
              <w:rPr>
                <w:rFonts w:asciiTheme="minorHAnsi" w:hAnsiTheme="minorHAnsi"/>
                <w:b/>
                <w:bCs/>
                <w:sz w:val="20"/>
                <w:szCs w:val="20"/>
                <w:lang w:val="sr-Latn-RS" w:eastAsia="sr-Latn-RS"/>
              </w:rPr>
              <w:t>Табела 1</w:t>
            </w:r>
          </w:p>
        </w:tc>
      </w:tr>
      <w:tr w:rsidR="00B75871" w:rsidRPr="005767EF" w14:paraId="386EE56C" w14:textId="77777777" w:rsidTr="00AD5361">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38FA206" w14:textId="77777777" w:rsidR="00B75871" w:rsidRPr="005767EF" w:rsidRDefault="00B75871" w:rsidP="00AD5361">
            <w:pPr>
              <w:ind w:right="-108"/>
              <w:jc w:val="center"/>
              <w:rPr>
                <w:rFonts w:asciiTheme="minorHAnsi" w:hAnsiTheme="minorHAnsi"/>
                <w:b/>
                <w:sz w:val="20"/>
                <w:szCs w:val="20"/>
                <w:lang w:val="sr-Cyrl-BA" w:eastAsia="sr-Latn-RS"/>
              </w:rPr>
            </w:pPr>
            <w:bookmarkStart w:id="6" w:name="_Toc514323448"/>
            <w:r w:rsidRPr="005767EF">
              <w:rPr>
                <w:rFonts w:asciiTheme="minorHAnsi" w:hAnsiTheme="minorHAnsi"/>
                <w:b/>
                <w:sz w:val="20"/>
                <w:szCs w:val="20"/>
                <w:lang w:val="sr-Cyrl-BA" w:eastAsia="sr-Latn-RS"/>
              </w:rPr>
              <w:t>Редни број</w:t>
            </w:r>
          </w:p>
        </w:tc>
        <w:tc>
          <w:tcPr>
            <w:tcW w:w="382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3847790D" w14:textId="77777777" w:rsidR="00B75871" w:rsidRPr="005767EF" w:rsidRDefault="00B75871" w:rsidP="00010815">
            <w:pPr>
              <w:jc w:val="center"/>
              <w:rPr>
                <w:rFonts w:asciiTheme="minorHAnsi" w:hAnsiTheme="minorHAnsi"/>
                <w:b/>
                <w:sz w:val="20"/>
                <w:szCs w:val="20"/>
                <w:lang w:val="sr-Latn-RS" w:eastAsia="sr-Latn-RS"/>
              </w:rPr>
            </w:pPr>
            <w:r w:rsidRPr="005767EF">
              <w:rPr>
                <w:rFonts w:asciiTheme="minorHAnsi" w:hAnsiTheme="minorHAnsi"/>
                <w:b/>
                <w:sz w:val="20"/>
                <w:szCs w:val="20"/>
                <w:lang w:val="sr-Latn-RS" w:eastAsia="sr-Latn-RS"/>
              </w:rPr>
              <w:t>Налогодавац</w:t>
            </w: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8FBBC65" w14:textId="77777777" w:rsidR="00B75871" w:rsidRPr="00AD5361" w:rsidRDefault="00AD5361" w:rsidP="00AD5361">
            <w:pPr>
              <w:jc w:val="center"/>
              <w:rPr>
                <w:rFonts w:asciiTheme="minorHAnsi" w:hAnsiTheme="minorHAnsi"/>
                <w:b/>
                <w:sz w:val="20"/>
                <w:szCs w:val="20"/>
                <w:lang w:val="sr-Cyrl-RS" w:eastAsia="sr-Latn-RS"/>
              </w:rPr>
            </w:pPr>
            <w:r>
              <w:rPr>
                <w:rFonts w:asciiTheme="minorHAnsi" w:hAnsiTheme="minorHAnsi"/>
                <w:b/>
                <w:sz w:val="20"/>
                <w:szCs w:val="20"/>
                <w:lang w:val="sr-Cyrl-RS" w:eastAsia="sr-Latn-RS"/>
              </w:rPr>
              <w:t>Број гаранција</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C772BE8" w14:textId="77777777" w:rsidR="00B75871" w:rsidRPr="005767EF" w:rsidRDefault="00B75871" w:rsidP="00010815">
            <w:pPr>
              <w:jc w:val="center"/>
              <w:rPr>
                <w:rFonts w:asciiTheme="minorHAnsi" w:hAnsiTheme="minorHAnsi"/>
                <w:b/>
                <w:sz w:val="20"/>
                <w:szCs w:val="20"/>
                <w:lang w:val="sr-Latn-RS" w:eastAsia="sr-Latn-RS"/>
              </w:rPr>
            </w:pPr>
            <w:r w:rsidRPr="005767EF">
              <w:rPr>
                <w:rFonts w:asciiTheme="minorHAnsi" w:hAnsiTheme="minorHAnsi"/>
                <w:b/>
                <w:sz w:val="20"/>
                <w:szCs w:val="20"/>
                <w:lang w:val="sr-Latn-RS" w:eastAsia="sr-Latn-RS"/>
              </w:rPr>
              <w:t>Износ кредита</w:t>
            </w:r>
          </w:p>
        </w:tc>
        <w:tc>
          <w:tcPr>
            <w:tcW w:w="141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2DC4C7B" w14:textId="77777777" w:rsidR="00B75871" w:rsidRPr="005767EF" w:rsidRDefault="00B75871" w:rsidP="00010815">
            <w:pPr>
              <w:jc w:val="center"/>
              <w:rPr>
                <w:rFonts w:asciiTheme="minorHAnsi" w:hAnsiTheme="minorHAnsi"/>
                <w:b/>
                <w:sz w:val="20"/>
                <w:szCs w:val="20"/>
                <w:lang w:val="sr-Cyrl-RS" w:eastAsia="sr-Latn-RS"/>
              </w:rPr>
            </w:pPr>
            <w:r w:rsidRPr="005767EF">
              <w:rPr>
                <w:rFonts w:asciiTheme="minorHAnsi" w:hAnsiTheme="minorHAnsi"/>
                <w:b/>
                <w:sz w:val="20"/>
                <w:szCs w:val="20"/>
                <w:lang w:val="sr-Latn-RS" w:eastAsia="sr-Latn-RS"/>
              </w:rPr>
              <w:t>Износ гаранциј</w:t>
            </w:r>
            <w:r w:rsidRPr="005767EF">
              <w:rPr>
                <w:rFonts w:asciiTheme="minorHAnsi" w:hAnsiTheme="minorHAnsi"/>
                <w:b/>
                <w:sz w:val="20"/>
                <w:szCs w:val="20"/>
                <w:lang w:val="sr-Cyrl-RS" w:eastAsia="sr-Latn-RS"/>
              </w:rPr>
              <w:t>е</w:t>
            </w:r>
          </w:p>
        </w:tc>
      </w:tr>
      <w:tr w:rsidR="00B75871" w:rsidRPr="005767EF" w14:paraId="0EEB3B30"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116438CE"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1.</w:t>
            </w:r>
          </w:p>
        </w:tc>
        <w:tc>
          <w:tcPr>
            <w:tcW w:w="3828" w:type="dxa"/>
            <w:tcBorders>
              <w:top w:val="single" w:sz="4" w:space="0" w:color="auto"/>
              <w:left w:val="nil"/>
              <w:bottom w:val="single" w:sz="4" w:space="0" w:color="auto"/>
              <w:right w:val="single" w:sz="4" w:space="0" w:color="auto"/>
            </w:tcBorders>
            <w:shd w:val="clear" w:color="000000" w:fill="FFFFFF"/>
          </w:tcPr>
          <w:p w14:paraId="4CE3DEC6" w14:textId="77777777" w:rsidR="00B75871" w:rsidRPr="005767EF" w:rsidRDefault="00B75871" w:rsidP="00010815">
            <w:pPr>
              <w:jc w:val="left"/>
              <w:rPr>
                <w:rFonts w:asciiTheme="minorHAnsi" w:hAnsiTheme="minorHAnsi"/>
                <w:caps/>
                <w:sz w:val="20"/>
                <w:szCs w:val="20"/>
                <w:lang w:val="sr-Cyrl-RS" w:eastAsia="sr-Latn-RS"/>
              </w:rPr>
            </w:pPr>
            <w:r w:rsidRPr="005767EF">
              <w:rPr>
                <w:rFonts w:asciiTheme="minorHAnsi" w:hAnsiTheme="minorHAnsi"/>
                <w:caps/>
                <w:sz w:val="20"/>
                <w:szCs w:val="20"/>
                <w:lang w:eastAsia="sr-Latn-RS"/>
              </w:rPr>
              <w:t xml:space="preserve">FRUCTUM </w:t>
            </w:r>
            <w:r w:rsidRPr="005767EF">
              <w:rPr>
                <w:rFonts w:asciiTheme="minorHAnsi" w:hAnsiTheme="minorHAnsi"/>
                <w:sz w:val="20"/>
                <w:szCs w:val="20"/>
                <w:lang w:val="sr-Cyrl-BA" w:eastAsia="sr-Latn-RS"/>
              </w:rPr>
              <w:t xml:space="preserve"> д.о.о. Лопаре</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CE624A6" w14:textId="77777777" w:rsidR="00B75871" w:rsidRPr="005767EF" w:rsidRDefault="00B75871" w:rsidP="00AD5361">
            <w:pPr>
              <w:ind w:left="-249" w:right="33"/>
              <w:jc w:val="right"/>
              <w:rPr>
                <w:rFonts w:asciiTheme="minorHAnsi" w:hAnsiTheme="minorHAnsi"/>
                <w:color w:val="auto"/>
                <w:sz w:val="20"/>
                <w:szCs w:val="20"/>
                <w:lang w:val="sr-Cyrl-RS"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0418E287" w14:textId="77777777" w:rsidR="00B75871" w:rsidRPr="005767EF" w:rsidRDefault="00B75871" w:rsidP="00847B43">
            <w:pPr>
              <w:ind w:left="-249" w:right="33"/>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val="sr-Cyrl-RS" w:eastAsia="sr-Latn-RS"/>
              </w:rPr>
              <w:t>3</w:t>
            </w:r>
            <w:r w:rsidRPr="005767EF">
              <w:rPr>
                <w:rFonts w:asciiTheme="minorHAnsi" w:hAnsiTheme="minorHAnsi"/>
                <w:color w:val="auto"/>
                <w:sz w:val="20"/>
                <w:szCs w:val="20"/>
                <w:lang w:val="sr-Latn-RS" w:eastAsia="sr-Latn-RS"/>
              </w:rPr>
              <w:t>00.000,00</w:t>
            </w:r>
          </w:p>
        </w:tc>
        <w:tc>
          <w:tcPr>
            <w:tcW w:w="1417" w:type="dxa"/>
            <w:tcBorders>
              <w:top w:val="nil"/>
              <w:left w:val="nil"/>
              <w:bottom w:val="single" w:sz="4" w:space="0" w:color="auto"/>
              <w:right w:val="single" w:sz="4" w:space="0" w:color="auto"/>
            </w:tcBorders>
            <w:shd w:val="clear" w:color="000000" w:fill="FFFFFF"/>
            <w:vAlign w:val="center"/>
          </w:tcPr>
          <w:p w14:paraId="49B70FF0" w14:textId="77777777" w:rsidR="00B75871" w:rsidRPr="005767EF" w:rsidRDefault="00B75871" w:rsidP="0056585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val="sr-Cyrl-RS" w:eastAsia="sr-Latn-RS"/>
              </w:rPr>
              <w:t>140.610</w:t>
            </w:r>
            <w:r w:rsidRPr="005767EF">
              <w:rPr>
                <w:rFonts w:asciiTheme="minorHAnsi" w:hAnsiTheme="minorHAnsi"/>
                <w:color w:val="auto"/>
                <w:sz w:val="20"/>
                <w:szCs w:val="20"/>
                <w:lang w:val="sr-Latn-RS" w:eastAsia="sr-Latn-RS"/>
              </w:rPr>
              <w:t>,00</w:t>
            </w:r>
          </w:p>
        </w:tc>
      </w:tr>
      <w:tr w:rsidR="00B75871" w:rsidRPr="005767EF" w14:paraId="0604A66B" w14:textId="77777777" w:rsidTr="00AD5361">
        <w:trPr>
          <w:trHeight w:val="219"/>
        </w:trPr>
        <w:tc>
          <w:tcPr>
            <w:tcW w:w="4503" w:type="dxa"/>
            <w:gridSpan w:val="2"/>
            <w:tcBorders>
              <w:top w:val="nil"/>
              <w:left w:val="single" w:sz="4" w:space="0" w:color="auto"/>
              <w:bottom w:val="single" w:sz="4" w:space="0" w:color="auto"/>
              <w:right w:val="single" w:sz="4" w:space="0" w:color="auto"/>
            </w:tcBorders>
            <w:shd w:val="clear" w:color="auto" w:fill="C6D9F1" w:themeFill="text2" w:themeFillTint="33"/>
          </w:tcPr>
          <w:p w14:paraId="714A6179" w14:textId="77777777" w:rsidR="00B75871" w:rsidRPr="005767EF" w:rsidRDefault="00B75871" w:rsidP="00AD5361">
            <w:pPr>
              <w:jc w:val="left"/>
              <w:rPr>
                <w:rFonts w:asciiTheme="minorHAnsi" w:hAnsiTheme="minorHAnsi"/>
                <w:color w:val="auto"/>
                <w:sz w:val="20"/>
                <w:szCs w:val="20"/>
                <w:lang w:val="sr-Cyrl-BA" w:eastAsia="sr-Latn-RS"/>
              </w:rPr>
            </w:pPr>
            <w:r w:rsidRPr="005767EF">
              <w:rPr>
                <w:rFonts w:asciiTheme="minorHAnsi" w:hAnsiTheme="minorHAnsi"/>
                <w:b/>
                <w:color w:val="auto"/>
                <w:sz w:val="20"/>
                <w:szCs w:val="20"/>
                <w:lang w:val="sr-Cyrl-BA" w:eastAsia="sr-Latn-RS"/>
              </w:rPr>
              <w:t xml:space="preserve">УКУПНО: Гарантна линија за </w:t>
            </w:r>
            <w:r w:rsidRPr="005767EF">
              <w:rPr>
                <w:rFonts w:asciiTheme="minorHAnsi" w:hAnsiTheme="minorHAnsi"/>
                <w:b/>
                <w:bCs/>
                <w:sz w:val="20"/>
                <w:szCs w:val="20"/>
                <w:lang w:val="sr-Cyrl-RS" w:eastAsia="sr-Latn-RS"/>
              </w:rPr>
              <w:t xml:space="preserve"> пољопривреду</w:t>
            </w:r>
            <w:r w:rsidR="00AD5361">
              <w:rPr>
                <w:rFonts w:asciiTheme="minorHAnsi" w:hAnsiTheme="minorHAnsi"/>
                <w:bCs/>
                <w:sz w:val="20"/>
                <w:szCs w:val="20"/>
                <w:lang w:val="sr-Cyrl-RS" w:eastAsia="sr-Latn-RS"/>
              </w:rPr>
              <w:t xml:space="preserve">           </w:t>
            </w:r>
          </w:p>
        </w:tc>
        <w:tc>
          <w:tcPr>
            <w:tcW w:w="1275" w:type="dxa"/>
            <w:tcBorders>
              <w:top w:val="nil"/>
              <w:left w:val="single" w:sz="4" w:space="0" w:color="auto"/>
              <w:bottom w:val="single" w:sz="4" w:space="0" w:color="auto"/>
              <w:right w:val="single" w:sz="4" w:space="0" w:color="auto"/>
            </w:tcBorders>
            <w:shd w:val="clear" w:color="auto" w:fill="C6D9F1" w:themeFill="text2" w:themeFillTint="33"/>
            <w:vAlign w:val="center"/>
          </w:tcPr>
          <w:p w14:paraId="4D8A5245" w14:textId="77777777" w:rsidR="00B75871" w:rsidRPr="005767EF" w:rsidRDefault="00AD5361" w:rsidP="00AD5361">
            <w:pPr>
              <w:ind w:left="-249" w:right="33"/>
              <w:jc w:val="right"/>
              <w:rPr>
                <w:rFonts w:asciiTheme="minorHAnsi" w:hAnsiTheme="minorHAnsi"/>
                <w:b/>
                <w:color w:val="auto"/>
                <w:sz w:val="20"/>
                <w:szCs w:val="20"/>
                <w:lang w:val="sr-Cyrl-BA" w:eastAsia="sr-Latn-RS"/>
              </w:rPr>
            </w:pPr>
            <w:r>
              <w:rPr>
                <w:rFonts w:asciiTheme="minorHAnsi" w:hAnsiTheme="minorHAnsi"/>
                <w:b/>
                <w:color w:val="auto"/>
                <w:sz w:val="20"/>
                <w:szCs w:val="20"/>
                <w:lang w:val="sr-Cyrl-BA" w:eastAsia="sr-Latn-RS"/>
              </w:rPr>
              <w:t>1</w:t>
            </w:r>
          </w:p>
        </w:tc>
        <w:tc>
          <w:tcPr>
            <w:tcW w:w="1560" w:type="dxa"/>
            <w:tcBorders>
              <w:top w:val="nil"/>
              <w:left w:val="single" w:sz="4" w:space="0" w:color="auto"/>
              <w:bottom w:val="single" w:sz="4" w:space="0" w:color="auto"/>
              <w:right w:val="single" w:sz="4" w:space="0" w:color="auto"/>
            </w:tcBorders>
            <w:shd w:val="clear" w:color="auto" w:fill="C6D9F1" w:themeFill="text2" w:themeFillTint="33"/>
          </w:tcPr>
          <w:p w14:paraId="4E830FE3" w14:textId="77777777" w:rsidR="00B75871" w:rsidRPr="005767EF" w:rsidRDefault="00B75871" w:rsidP="00847B43">
            <w:pPr>
              <w:ind w:left="-249" w:right="33"/>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val="sr-Cyrl-BA" w:eastAsia="sr-Latn-RS"/>
              </w:rPr>
              <w:t>300.000,00</w:t>
            </w:r>
          </w:p>
        </w:tc>
        <w:tc>
          <w:tcPr>
            <w:tcW w:w="1417" w:type="dxa"/>
            <w:tcBorders>
              <w:top w:val="nil"/>
              <w:left w:val="single" w:sz="4" w:space="0" w:color="auto"/>
              <w:bottom w:val="single" w:sz="4" w:space="0" w:color="auto"/>
              <w:right w:val="single" w:sz="4" w:space="0" w:color="auto"/>
            </w:tcBorders>
            <w:shd w:val="clear" w:color="auto" w:fill="C6D9F1" w:themeFill="text2" w:themeFillTint="33"/>
          </w:tcPr>
          <w:p w14:paraId="150543BF" w14:textId="77777777" w:rsidR="00B75871" w:rsidRPr="005767EF" w:rsidRDefault="00B75871" w:rsidP="00847B43">
            <w:pPr>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val="sr-Cyrl-BA" w:eastAsia="sr-Latn-RS"/>
              </w:rPr>
              <w:t>140.610,00</w:t>
            </w:r>
          </w:p>
        </w:tc>
      </w:tr>
      <w:tr w:rsidR="00B75871" w:rsidRPr="005767EF" w14:paraId="4DADF7ED"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7B711AE7"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2.</w:t>
            </w:r>
          </w:p>
        </w:tc>
        <w:tc>
          <w:tcPr>
            <w:tcW w:w="3828" w:type="dxa"/>
            <w:tcBorders>
              <w:top w:val="single" w:sz="4" w:space="0" w:color="auto"/>
              <w:left w:val="nil"/>
              <w:bottom w:val="single" w:sz="4" w:space="0" w:color="auto"/>
              <w:right w:val="single" w:sz="4" w:space="0" w:color="auto"/>
            </w:tcBorders>
            <w:shd w:val="clear" w:color="000000" w:fill="FFFFFF"/>
          </w:tcPr>
          <w:p w14:paraId="3D220D6C" w14:textId="77777777" w:rsidR="00B75871" w:rsidRPr="005767EF" w:rsidRDefault="00B75871" w:rsidP="00010815">
            <w:pPr>
              <w:jc w:val="left"/>
              <w:rPr>
                <w:rFonts w:asciiTheme="minorHAnsi" w:hAnsiTheme="minorHAnsi"/>
                <w:sz w:val="20"/>
                <w:szCs w:val="20"/>
                <w:lang w:val="sr-Cyrl-RS" w:eastAsia="sr-Latn-RS"/>
              </w:rPr>
            </w:pPr>
            <w:r w:rsidRPr="005767EF">
              <w:rPr>
                <w:rFonts w:asciiTheme="minorHAnsi" w:hAnsiTheme="minorHAnsi"/>
                <w:sz w:val="20"/>
                <w:szCs w:val="20"/>
                <w:lang w:val="sr-Cyrl-BA" w:eastAsia="sr-Latn-RS"/>
              </w:rPr>
              <w:t>ПАЈО д.о.о. Соколац</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E69CBAA"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1BB71406"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1.500.000,00</w:t>
            </w:r>
          </w:p>
        </w:tc>
        <w:tc>
          <w:tcPr>
            <w:tcW w:w="1417" w:type="dxa"/>
            <w:tcBorders>
              <w:top w:val="nil"/>
              <w:left w:val="nil"/>
              <w:bottom w:val="single" w:sz="4" w:space="0" w:color="auto"/>
              <w:right w:val="single" w:sz="4" w:space="0" w:color="auto"/>
            </w:tcBorders>
            <w:shd w:val="clear" w:color="000000" w:fill="FFFFFF"/>
            <w:vAlign w:val="center"/>
          </w:tcPr>
          <w:p w14:paraId="5987E6CC"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249.900,00</w:t>
            </w:r>
          </w:p>
        </w:tc>
      </w:tr>
      <w:tr w:rsidR="00B75871" w:rsidRPr="005767EF" w14:paraId="20F49CCF"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260D1471"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3.</w:t>
            </w:r>
          </w:p>
        </w:tc>
        <w:tc>
          <w:tcPr>
            <w:tcW w:w="3828" w:type="dxa"/>
            <w:tcBorders>
              <w:top w:val="single" w:sz="4" w:space="0" w:color="auto"/>
              <w:left w:val="nil"/>
              <w:bottom w:val="single" w:sz="4" w:space="0" w:color="auto"/>
              <w:right w:val="single" w:sz="4" w:space="0" w:color="auto"/>
            </w:tcBorders>
            <w:shd w:val="clear" w:color="000000" w:fill="FFFFFF"/>
          </w:tcPr>
          <w:p w14:paraId="5ED6089E" w14:textId="77777777" w:rsidR="00B75871" w:rsidRPr="005767EF" w:rsidRDefault="00B75871" w:rsidP="00010815">
            <w:pPr>
              <w:jc w:val="left"/>
              <w:rPr>
                <w:rFonts w:asciiTheme="minorHAnsi" w:hAnsiTheme="minorHAnsi"/>
                <w:sz w:val="20"/>
                <w:szCs w:val="20"/>
                <w:lang w:val="sr-Cyrl-BA" w:eastAsia="sr-Latn-RS"/>
              </w:rPr>
            </w:pPr>
            <w:r w:rsidRPr="005767EF">
              <w:rPr>
                <w:rFonts w:asciiTheme="minorHAnsi" w:hAnsiTheme="minorHAnsi"/>
                <w:sz w:val="20"/>
                <w:szCs w:val="20"/>
                <w:lang w:eastAsia="sr-Latn-RS"/>
              </w:rPr>
              <w:t>CASTELLINA SRPSKA</w:t>
            </w:r>
            <w:r w:rsidRPr="005767EF">
              <w:rPr>
                <w:rFonts w:asciiTheme="minorHAnsi" w:hAnsiTheme="minorHAnsi"/>
                <w:sz w:val="20"/>
                <w:szCs w:val="20"/>
                <w:lang w:val="sr-Cyrl-RS" w:eastAsia="sr-Latn-RS"/>
              </w:rPr>
              <w:t xml:space="preserve"> д.о.о. Модрича</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4157FDF"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57D76C1F"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2.200.000,00</w:t>
            </w:r>
          </w:p>
        </w:tc>
        <w:tc>
          <w:tcPr>
            <w:tcW w:w="1417" w:type="dxa"/>
            <w:tcBorders>
              <w:top w:val="nil"/>
              <w:left w:val="nil"/>
              <w:bottom w:val="single" w:sz="4" w:space="0" w:color="auto"/>
              <w:right w:val="single" w:sz="4" w:space="0" w:color="auto"/>
            </w:tcBorders>
            <w:shd w:val="clear" w:color="000000" w:fill="FFFFFF"/>
            <w:vAlign w:val="center"/>
          </w:tcPr>
          <w:p w14:paraId="7E5BC07E"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1.100.000,00</w:t>
            </w:r>
          </w:p>
        </w:tc>
      </w:tr>
      <w:tr w:rsidR="00B75871" w:rsidRPr="005767EF" w14:paraId="6A68B4D0"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63306E90"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4.</w:t>
            </w:r>
          </w:p>
        </w:tc>
        <w:tc>
          <w:tcPr>
            <w:tcW w:w="3828" w:type="dxa"/>
            <w:tcBorders>
              <w:top w:val="single" w:sz="4" w:space="0" w:color="auto"/>
              <w:left w:val="nil"/>
              <w:bottom w:val="single" w:sz="4" w:space="0" w:color="auto"/>
              <w:right w:val="single" w:sz="4" w:space="0" w:color="auto"/>
            </w:tcBorders>
            <w:shd w:val="clear" w:color="000000" w:fill="FFFFFF"/>
          </w:tcPr>
          <w:p w14:paraId="540E8173" w14:textId="77777777" w:rsidR="00B75871" w:rsidRPr="005767EF" w:rsidRDefault="00B75871" w:rsidP="00D368D4">
            <w:pPr>
              <w:jc w:val="left"/>
              <w:rPr>
                <w:rFonts w:asciiTheme="minorHAnsi" w:hAnsiTheme="minorHAnsi"/>
                <w:sz w:val="20"/>
                <w:szCs w:val="20"/>
                <w:lang w:val="sr-Cyrl-BA" w:eastAsia="sr-Latn-RS"/>
              </w:rPr>
            </w:pPr>
            <w:r w:rsidRPr="005767EF">
              <w:rPr>
                <w:rFonts w:asciiTheme="minorHAnsi" w:hAnsiTheme="minorHAnsi"/>
                <w:sz w:val="20"/>
                <w:szCs w:val="20"/>
                <w:lang w:val="sr-Cyrl-RS" w:eastAsia="sr-Latn-RS"/>
              </w:rPr>
              <w:t xml:space="preserve">ОЦ </w:t>
            </w:r>
            <w:r w:rsidR="00D368D4">
              <w:rPr>
                <w:rFonts w:asciiTheme="minorHAnsi" w:hAnsiTheme="minorHAnsi"/>
                <w:sz w:val="20"/>
                <w:szCs w:val="20"/>
                <w:lang w:val="sr-Cyrl-RS" w:eastAsia="sr-Latn-RS"/>
              </w:rPr>
              <w:t xml:space="preserve"> ЈАХОРИНА</w:t>
            </w:r>
            <w:r w:rsidRPr="005767EF">
              <w:rPr>
                <w:rFonts w:asciiTheme="minorHAnsi" w:hAnsiTheme="minorHAnsi"/>
                <w:sz w:val="20"/>
                <w:szCs w:val="20"/>
                <w:lang w:val="sr-Cyrl-RS" w:eastAsia="sr-Latn-RS"/>
              </w:rPr>
              <w:t xml:space="preserve"> а.д. Пале</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4B88EB46"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5EB6B5BE"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15.000.000,00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26727A5"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1.500.000,00</w:t>
            </w:r>
          </w:p>
        </w:tc>
      </w:tr>
      <w:tr w:rsidR="00B75871" w:rsidRPr="005767EF" w14:paraId="233EB19B" w14:textId="77777777" w:rsidTr="00AD5361">
        <w:trPr>
          <w:trHeight w:val="219"/>
        </w:trPr>
        <w:tc>
          <w:tcPr>
            <w:tcW w:w="450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ED8187" w14:textId="77777777" w:rsidR="00B75871" w:rsidRPr="005767EF" w:rsidRDefault="00B75871" w:rsidP="00AD5361">
            <w:pPr>
              <w:jc w:val="left"/>
              <w:rPr>
                <w:rFonts w:asciiTheme="minorHAnsi" w:hAnsiTheme="minorHAnsi"/>
                <w:b/>
                <w:color w:val="auto"/>
                <w:sz w:val="20"/>
                <w:szCs w:val="20"/>
                <w:lang w:val="sr-Cyrl-BA" w:eastAsia="sr-Latn-RS"/>
              </w:rPr>
            </w:pPr>
            <w:r w:rsidRPr="005767EF">
              <w:rPr>
                <w:rFonts w:asciiTheme="minorHAnsi" w:hAnsiTheme="minorHAnsi"/>
                <w:b/>
                <w:bCs/>
                <w:sz w:val="20"/>
                <w:szCs w:val="20"/>
                <w:lang w:val="sr-Cyrl-RS" w:eastAsia="sr-Latn-RS"/>
              </w:rPr>
              <w:t xml:space="preserve">УКУПНО: </w:t>
            </w:r>
            <w:r w:rsidRPr="005767EF">
              <w:rPr>
                <w:rFonts w:asciiTheme="minorHAnsi" w:hAnsiTheme="minorHAnsi"/>
                <w:b/>
                <w:bCs/>
                <w:sz w:val="20"/>
                <w:szCs w:val="20"/>
                <w:lang w:val="sr-Latn-RS" w:eastAsia="sr-Latn-RS"/>
              </w:rPr>
              <w:t xml:space="preserve">Гарантна линија за </w:t>
            </w:r>
            <w:r w:rsidRPr="005767EF">
              <w:rPr>
                <w:rFonts w:asciiTheme="minorHAnsi" w:hAnsiTheme="minorHAnsi"/>
                <w:b/>
                <w:color w:val="auto"/>
                <w:sz w:val="20"/>
                <w:szCs w:val="20"/>
                <w:lang w:val="sr-Cyrl-BA" w:eastAsia="sr-Latn-RS"/>
              </w:rPr>
              <w:t xml:space="preserve"> кредите из средстава ИРБ    </w:t>
            </w:r>
            <w:r>
              <w:rPr>
                <w:rFonts w:asciiTheme="minorHAnsi" w:hAnsiTheme="minorHAnsi"/>
                <w:b/>
                <w:color w:val="auto"/>
                <w:sz w:val="20"/>
                <w:szCs w:val="20"/>
                <w:lang w:val="sr-Cyrl-BA" w:eastAsia="sr-Latn-RS"/>
              </w:rPr>
              <w:t xml:space="preserve">                                                              </w:t>
            </w:r>
            <w:r w:rsidRPr="005767EF">
              <w:rPr>
                <w:rFonts w:asciiTheme="minorHAnsi" w:hAnsiTheme="minorHAnsi"/>
                <w:b/>
                <w:color w:val="auto"/>
                <w:sz w:val="20"/>
                <w:szCs w:val="20"/>
                <w:lang w:val="sr-Cyrl-BA" w:eastAsia="sr-Latn-RS"/>
              </w:rPr>
              <w:t xml:space="preserve"> </w:t>
            </w:r>
            <w:r>
              <w:rPr>
                <w:rFonts w:asciiTheme="minorHAnsi" w:hAnsiTheme="minorHAnsi"/>
                <w:b/>
                <w:color w:val="auto"/>
                <w:sz w:val="20"/>
                <w:szCs w:val="20"/>
                <w:lang w:val="sr-Cyrl-BA" w:eastAsia="sr-Latn-RS"/>
              </w:rPr>
              <w:t xml:space="preserve">                    </w:t>
            </w:r>
            <w:r w:rsidR="00AD5361">
              <w:rPr>
                <w:rFonts w:asciiTheme="minorHAnsi" w:hAnsiTheme="minorHAnsi"/>
                <w:b/>
                <w:color w:val="auto"/>
                <w:sz w:val="20"/>
                <w:szCs w:val="20"/>
                <w:lang w:val="sr-Cyrl-BA" w:eastAsia="sr-Latn-RS"/>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8EFC73" w14:textId="77777777" w:rsidR="00B75871" w:rsidRPr="005767EF" w:rsidRDefault="00AD5361" w:rsidP="00AD5361">
            <w:pPr>
              <w:ind w:left="-249"/>
              <w:jc w:val="right"/>
              <w:rPr>
                <w:rFonts w:asciiTheme="minorHAnsi" w:hAnsiTheme="minorHAnsi"/>
                <w:b/>
                <w:color w:val="auto"/>
                <w:sz w:val="20"/>
                <w:szCs w:val="20"/>
                <w:lang w:val="sr-Cyrl-BA" w:eastAsia="sr-Latn-RS"/>
              </w:rPr>
            </w:pPr>
            <w:r>
              <w:rPr>
                <w:rFonts w:asciiTheme="minorHAnsi" w:hAnsiTheme="minorHAnsi"/>
                <w:b/>
                <w:color w:val="auto"/>
                <w:sz w:val="20"/>
                <w:szCs w:val="20"/>
                <w:lang w:val="sr-Cyrl-BA" w:eastAsia="sr-Latn-RS"/>
              </w:rPr>
              <w:t>3</w:t>
            </w:r>
          </w:p>
        </w:tc>
        <w:tc>
          <w:tcPr>
            <w:tcW w:w="15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778A8A" w14:textId="77777777" w:rsidR="00B75871" w:rsidRPr="005767EF" w:rsidRDefault="00B75871" w:rsidP="00AD5361">
            <w:pPr>
              <w:ind w:left="-249"/>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val="sr-Cyrl-BA" w:eastAsia="sr-Latn-RS"/>
              </w:rPr>
              <w:t>18.700.000,00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0AA3E7" w14:textId="77777777" w:rsidR="00B75871" w:rsidRPr="005767EF" w:rsidRDefault="00B75871" w:rsidP="00AD5361">
            <w:pPr>
              <w:jc w:val="right"/>
              <w:rPr>
                <w:rFonts w:asciiTheme="minorHAnsi" w:hAnsiTheme="minorHAnsi"/>
                <w:color w:val="auto"/>
                <w:sz w:val="20"/>
                <w:szCs w:val="20"/>
                <w:lang w:val="sr-Cyrl-BA" w:eastAsia="sr-Latn-RS"/>
              </w:rPr>
            </w:pPr>
            <w:r w:rsidRPr="005767EF">
              <w:rPr>
                <w:rFonts w:asciiTheme="minorHAnsi" w:hAnsiTheme="minorHAnsi"/>
                <w:b/>
                <w:color w:val="auto"/>
                <w:sz w:val="20"/>
                <w:szCs w:val="20"/>
                <w:lang w:val="sr-Cyrl-BA" w:eastAsia="sr-Latn-RS"/>
              </w:rPr>
              <w:t>2.849.900,00</w:t>
            </w:r>
          </w:p>
        </w:tc>
      </w:tr>
      <w:tr w:rsidR="00B75871" w:rsidRPr="005767EF" w14:paraId="32CE3F10"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3730553C"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5.</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5442B50A" w14:textId="77777777" w:rsidR="00B75871" w:rsidRPr="005767EF" w:rsidRDefault="00B75871" w:rsidP="006B0198">
            <w:pPr>
              <w:jc w:val="left"/>
              <w:rPr>
                <w:rFonts w:asciiTheme="minorHAnsi" w:hAnsiTheme="minorHAnsi"/>
                <w:sz w:val="20"/>
                <w:szCs w:val="20"/>
                <w:lang w:val="sr-Cyrl-BA" w:eastAsia="sr-Latn-RS"/>
              </w:rPr>
            </w:pPr>
            <w:r w:rsidRPr="005767EF">
              <w:rPr>
                <w:rFonts w:asciiTheme="minorHAnsi" w:hAnsiTheme="minorHAnsi"/>
                <w:sz w:val="20"/>
                <w:szCs w:val="20"/>
                <w:lang w:val="sr-Cyrl-BA" w:eastAsia="sr-Latn-RS"/>
              </w:rPr>
              <w:t>АНДРИЋ-ФАРМ д.о.о. Пелагићево</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1E281D19"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03F1011B"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3.800.000,00</w:t>
            </w:r>
          </w:p>
        </w:tc>
        <w:tc>
          <w:tcPr>
            <w:tcW w:w="1417" w:type="dxa"/>
            <w:tcBorders>
              <w:top w:val="nil"/>
              <w:left w:val="nil"/>
              <w:bottom w:val="single" w:sz="4" w:space="0" w:color="auto"/>
              <w:right w:val="single" w:sz="4" w:space="0" w:color="auto"/>
            </w:tcBorders>
            <w:shd w:val="clear" w:color="000000" w:fill="FFFFFF"/>
          </w:tcPr>
          <w:p w14:paraId="4FC4250D"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1.500.000,00</w:t>
            </w:r>
          </w:p>
        </w:tc>
      </w:tr>
      <w:tr w:rsidR="00B75871" w:rsidRPr="005767EF" w14:paraId="0D6B0E67"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2D560C66"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6.</w:t>
            </w:r>
          </w:p>
        </w:tc>
        <w:tc>
          <w:tcPr>
            <w:tcW w:w="3828" w:type="dxa"/>
            <w:tcBorders>
              <w:top w:val="single" w:sz="4" w:space="0" w:color="auto"/>
              <w:left w:val="nil"/>
              <w:bottom w:val="single" w:sz="4" w:space="0" w:color="auto"/>
              <w:right w:val="single" w:sz="4" w:space="0" w:color="auto"/>
            </w:tcBorders>
            <w:shd w:val="clear" w:color="000000" w:fill="FFFFFF"/>
          </w:tcPr>
          <w:p w14:paraId="592678C0" w14:textId="77777777" w:rsidR="00B75871" w:rsidRPr="005767EF" w:rsidRDefault="00B75871" w:rsidP="006B0198">
            <w:pPr>
              <w:jc w:val="left"/>
              <w:rPr>
                <w:rFonts w:asciiTheme="minorHAnsi" w:hAnsiTheme="minorHAnsi"/>
                <w:sz w:val="20"/>
                <w:szCs w:val="20"/>
                <w:lang w:val="sr-Cyrl-BA" w:eastAsia="sr-Latn-RS"/>
              </w:rPr>
            </w:pPr>
            <w:r w:rsidRPr="005767EF">
              <w:rPr>
                <w:rFonts w:asciiTheme="minorHAnsi" w:hAnsiTheme="minorHAnsi"/>
                <w:sz w:val="20"/>
                <w:szCs w:val="20"/>
                <w:lang w:val="sr-Cyrl-BA" w:eastAsia="sr-Latn-RS"/>
              </w:rPr>
              <w:t>Самит енергетике СЕТ д.о.о. Требиње</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33F33378"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tcPr>
          <w:p w14:paraId="140A54A5"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2.500.000,00</w:t>
            </w:r>
          </w:p>
        </w:tc>
        <w:tc>
          <w:tcPr>
            <w:tcW w:w="1417" w:type="dxa"/>
            <w:tcBorders>
              <w:top w:val="nil"/>
              <w:left w:val="nil"/>
              <w:bottom w:val="single" w:sz="4" w:space="0" w:color="auto"/>
              <w:right w:val="single" w:sz="4" w:space="0" w:color="auto"/>
            </w:tcBorders>
            <w:shd w:val="clear" w:color="000000" w:fill="FFFFFF"/>
          </w:tcPr>
          <w:p w14:paraId="6B5DED72"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749.750,00</w:t>
            </w:r>
          </w:p>
        </w:tc>
      </w:tr>
      <w:tr w:rsidR="00B75871" w:rsidRPr="005767EF" w14:paraId="3CCC762A"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5F142CC1"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7.</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2405CFD1" w14:textId="77777777" w:rsidR="00B75871" w:rsidRPr="005767EF" w:rsidRDefault="00D368D4" w:rsidP="005D5536">
            <w:pPr>
              <w:jc w:val="left"/>
              <w:rPr>
                <w:rFonts w:asciiTheme="minorHAnsi" w:hAnsiTheme="minorHAnsi"/>
                <w:sz w:val="20"/>
                <w:szCs w:val="20"/>
                <w:lang w:val="sr-Cyrl-BA" w:eastAsia="sr-Latn-RS"/>
              </w:rPr>
            </w:pPr>
            <w:r>
              <w:rPr>
                <w:rFonts w:asciiTheme="minorHAnsi" w:hAnsiTheme="minorHAnsi"/>
                <w:sz w:val="20"/>
                <w:szCs w:val="20"/>
                <w:lang w:val="sr-Cyrl-BA" w:eastAsia="sr-Latn-RS"/>
              </w:rPr>
              <w:t>АУТО МАЛИ</w:t>
            </w:r>
            <w:r w:rsidR="00B75871">
              <w:rPr>
                <w:rFonts w:asciiTheme="minorHAnsi" w:hAnsiTheme="minorHAnsi"/>
                <w:sz w:val="20"/>
                <w:szCs w:val="20"/>
                <w:lang w:val="sr-Cyrl-BA" w:eastAsia="sr-Latn-RS"/>
              </w:rPr>
              <w:t xml:space="preserve"> д.о.о. Бања Лука</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0E024764"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08797F3A"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110.000,00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8129AE1"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55.000,00</w:t>
            </w:r>
          </w:p>
        </w:tc>
      </w:tr>
      <w:tr w:rsidR="00B75871" w:rsidRPr="005767EF" w14:paraId="0315C60E"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0ADE0D97"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8.</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03BC15A7" w14:textId="77777777" w:rsidR="00B75871" w:rsidRPr="005767EF" w:rsidRDefault="00B75871" w:rsidP="00D368D4">
            <w:pPr>
              <w:jc w:val="left"/>
              <w:rPr>
                <w:rFonts w:asciiTheme="minorHAnsi" w:hAnsiTheme="minorHAnsi"/>
                <w:sz w:val="20"/>
                <w:szCs w:val="20"/>
                <w:lang w:val="sr-Cyrl-BA" w:eastAsia="sr-Latn-RS"/>
              </w:rPr>
            </w:pPr>
            <w:r w:rsidRPr="005767EF">
              <w:rPr>
                <w:rFonts w:asciiTheme="minorHAnsi" w:hAnsiTheme="minorHAnsi"/>
                <w:sz w:val="20"/>
                <w:szCs w:val="20"/>
                <w:lang w:val="sr-Cyrl-BA" w:eastAsia="sr-Latn-RS"/>
              </w:rPr>
              <w:t>В</w:t>
            </w:r>
            <w:r w:rsidR="00D368D4">
              <w:rPr>
                <w:rFonts w:asciiTheme="minorHAnsi" w:hAnsiTheme="minorHAnsi"/>
                <w:sz w:val="20"/>
                <w:szCs w:val="20"/>
                <w:lang w:val="sr-Cyrl-BA" w:eastAsia="sr-Latn-RS"/>
              </w:rPr>
              <w:t>ОДОВОД</w:t>
            </w:r>
            <w:r w:rsidRPr="005767EF">
              <w:rPr>
                <w:rFonts w:asciiTheme="minorHAnsi" w:hAnsiTheme="minorHAnsi"/>
                <w:sz w:val="20"/>
                <w:szCs w:val="20"/>
                <w:lang w:val="sr-Cyrl-BA" w:eastAsia="sr-Latn-RS"/>
              </w:rPr>
              <w:t xml:space="preserve"> а.д. Козарска Дубица</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61975932"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0645AF7B"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350.000,00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A69ACC5"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val="sr-Cyrl-BA" w:eastAsia="sr-Latn-RS"/>
              </w:rPr>
              <w:t>175.000,00</w:t>
            </w:r>
          </w:p>
        </w:tc>
      </w:tr>
      <w:tr w:rsidR="00B75871" w:rsidRPr="005767EF" w14:paraId="61475E46" w14:textId="77777777" w:rsidTr="00AD5361">
        <w:trPr>
          <w:trHeight w:val="219"/>
        </w:trPr>
        <w:tc>
          <w:tcPr>
            <w:tcW w:w="450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755BBB4F" w14:textId="77777777" w:rsidR="00B75871" w:rsidRPr="005767EF" w:rsidRDefault="00B75871" w:rsidP="006B0198">
            <w:pPr>
              <w:jc w:val="center"/>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 xml:space="preserve">УКУПНО: </w:t>
            </w:r>
            <w:r w:rsidRPr="005767EF">
              <w:rPr>
                <w:rFonts w:asciiTheme="minorHAnsi" w:hAnsiTheme="minorHAnsi"/>
                <w:b/>
                <w:bCs/>
                <w:sz w:val="20"/>
                <w:szCs w:val="20"/>
                <w:lang w:val="sr-Latn-RS" w:eastAsia="sr-Latn-RS"/>
              </w:rPr>
              <w:t xml:space="preserve">Гарантна линија за </w:t>
            </w:r>
            <w:r w:rsidRPr="005767EF">
              <w:rPr>
                <w:rFonts w:asciiTheme="minorHAnsi" w:hAnsiTheme="minorHAnsi"/>
                <w:b/>
                <w:bCs/>
                <w:sz w:val="20"/>
                <w:szCs w:val="20"/>
                <w:lang w:val="sr-Cyrl-RS" w:eastAsia="sr-Latn-RS"/>
              </w:rPr>
              <w:t>привредна друштва</w:t>
            </w:r>
            <w:r>
              <w:rPr>
                <w:rFonts w:asciiTheme="minorHAnsi" w:hAnsiTheme="minorHAnsi"/>
                <w:b/>
                <w:bCs/>
                <w:sz w:val="20"/>
                <w:szCs w:val="20"/>
                <w:lang w:val="sr-Cyrl-RS" w:eastAsia="sr-Latn-RS"/>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B2DB6B1" w14:textId="77777777" w:rsidR="00B75871" w:rsidRPr="005767EF" w:rsidRDefault="00AD5361" w:rsidP="00AD5361">
            <w:pPr>
              <w:ind w:left="-249"/>
              <w:jc w:val="right"/>
              <w:rPr>
                <w:rFonts w:asciiTheme="minorHAnsi" w:hAnsiTheme="minorHAnsi"/>
                <w:b/>
                <w:sz w:val="20"/>
                <w:szCs w:val="20"/>
                <w:lang w:val="sr-Cyrl-BA" w:eastAsia="sr-Latn-RS"/>
              </w:rPr>
            </w:pPr>
            <w:r>
              <w:rPr>
                <w:rFonts w:asciiTheme="minorHAnsi" w:hAnsiTheme="minorHAnsi"/>
                <w:b/>
                <w:sz w:val="20"/>
                <w:szCs w:val="20"/>
                <w:lang w:val="sr-Cyrl-BA" w:eastAsia="sr-Latn-RS"/>
              </w:rPr>
              <w:t>4</w:t>
            </w:r>
          </w:p>
        </w:tc>
        <w:tc>
          <w:tcPr>
            <w:tcW w:w="15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C691ED" w14:textId="77777777" w:rsidR="00B75871" w:rsidRPr="005767EF" w:rsidRDefault="00B75871" w:rsidP="00847B43">
            <w:pPr>
              <w:ind w:left="-249"/>
              <w:jc w:val="right"/>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6.760.000,00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3D8DA9B" w14:textId="77777777" w:rsidR="00B75871" w:rsidRPr="005767EF" w:rsidRDefault="00B75871" w:rsidP="00593423">
            <w:pPr>
              <w:jc w:val="right"/>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2.479.750,00</w:t>
            </w:r>
          </w:p>
        </w:tc>
      </w:tr>
      <w:tr w:rsidR="00B75871" w:rsidRPr="005767EF" w14:paraId="2EF0CD6E" w14:textId="77777777" w:rsidTr="00AD5361">
        <w:trPr>
          <w:trHeight w:val="443"/>
        </w:trPr>
        <w:tc>
          <w:tcPr>
            <w:tcW w:w="4503"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9F887EA" w14:textId="77777777" w:rsidR="00B75871" w:rsidRPr="005767EF" w:rsidRDefault="00B75871" w:rsidP="00F30F98">
            <w:pPr>
              <w:jc w:val="right"/>
              <w:rPr>
                <w:rFonts w:asciiTheme="minorHAnsi" w:hAnsiTheme="minorHAnsi"/>
                <w:sz w:val="20"/>
                <w:szCs w:val="20"/>
                <w:lang w:val="sr-Cyrl-RS" w:eastAsia="sr-Latn-RS"/>
              </w:rPr>
            </w:pPr>
            <w:r w:rsidRPr="005767EF">
              <w:rPr>
                <w:rFonts w:asciiTheme="minorHAnsi" w:hAnsiTheme="minorHAnsi"/>
                <w:b/>
                <w:bCs/>
                <w:sz w:val="20"/>
                <w:szCs w:val="20"/>
                <w:lang w:val="sr-Cyrl-RS" w:eastAsia="sr-Latn-RS"/>
              </w:rPr>
              <w:t xml:space="preserve">                  </w:t>
            </w:r>
            <w:r>
              <w:rPr>
                <w:rFonts w:asciiTheme="minorHAnsi" w:hAnsiTheme="minorHAnsi"/>
                <w:b/>
                <w:bCs/>
                <w:sz w:val="20"/>
                <w:szCs w:val="20"/>
                <w:lang w:val="sr-Cyrl-RS" w:eastAsia="sr-Latn-RS"/>
              </w:rPr>
              <w:t xml:space="preserve">        </w:t>
            </w:r>
            <w:r w:rsidRPr="005767EF">
              <w:rPr>
                <w:rFonts w:asciiTheme="minorHAnsi" w:hAnsiTheme="minorHAnsi"/>
                <w:b/>
                <w:bCs/>
                <w:sz w:val="20"/>
                <w:szCs w:val="20"/>
                <w:lang w:val="sr-Cyrl-RS" w:eastAsia="sr-Latn-RS"/>
              </w:rPr>
              <w:t xml:space="preserve">  УКУПНО                                                     </w:t>
            </w:r>
            <w:r>
              <w:rPr>
                <w:rFonts w:asciiTheme="minorHAnsi" w:hAnsiTheme="minorHAnsi"/>
                <w:b/>
                <w:bCs/>
                <w:sz w:val="20"/>
                <w:szCs w:val="20"/>
                <w:lang w:val="sr-Cyrl-RS" w:eastAsia="sr-Latn-RS"/>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E82BF60" w14:textId="77777777" w:rsidR="00B75871" w:rsidRPr="005767EF" w:rsidRDefault="00AD5361" w:rsidP="00AD5361">
            <w:pPr>
              <w:ind w:left="-249"/>
              <w:jc w:val="right"/>
              <w:rPr>
                <w:rFonts w:asciiTheme="minorHAnsi" w:hAnsiTheme="minorHAnsi"/>
                <w:b/>
                <w:sz w:val="20"/>
                <w:szCs w:val="20"/>
                <w:lang w:val="sr-Cyrl-BA" w:eastAsia="sr-Latn-RS"/>
              </w:rPr>
            </w:pPr>
            <w:r>
              <w:rPr>
                <w:rFonts w:asciiTheme="minorHAnsi" w:hAnsiTheme="minorHAnsi"/>
                <w:b/>
                <w:sz w:val="20"/>
                <w:szCs w:val="20"/>
                <w:lang w:val="sr-Cyrl-BA" w:eastAsia="sr-Latn-RS"/>
              </w:rPr>
              <w:t>8</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8F49587" w14:textId="77777777" w:rsidR="00B75871" w:rsidRPr="005767EF" w:rsidRDefault="00B75871" w:rsidP="00F30F98">
            <w:pPr>
              <w:ind w:left="-249"/>
              <w:jc w:val="right"/>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25.760.000,00</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A1912BD" w14:textId="77777777" w:rsidR="00B75871" w:rsidRPr="005767EF" w:rsidRDefault="00B75871" w:rsidP="00F30F98">
            <w:pPr>
              <w:jc w:val="right"/>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5.470.260,00</w:t>
            </w:r>
          </w:p>
        </w:tc>
      </w:tr>
      <w:bookmarkEnd w:id="6"/>
    </w:tbl>
    <w:p w14:paraId="6705B6AC"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613DC9C9"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lang w:val="sr-Cyrl-RS"/>
        </w:rPr>
        <w:t>Гарантни фонд Републике Српске је у 2023. години издао 8 појединачних гаранција у износу од 5.470.260,00 КМ, чиме је подржано 25.760.000,00 КМ пласмана финансијских посредника. Просјечна стопа гарантованог износа кредита током 2023. године је износила 21,23%.</w:t>
      </w:r>
    </w:p>
    <w:p w14:paraId="1A73140A"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p>
    <w:p w14:paraId="4BD48C50"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lang w:val="sr-Cyrl-RS"/>
        </w:rPr>
        <w:t>У оквиру гарантне линије за пољопривреду, издана је једна гаранција у износу од 140.610,00 КМ. Четири гаранције у износу од 2.479.750,00 КМ су издане у оквиру гарантне линије за привредна друштва, док су преко гарантне линије за кредите из средстава Инвестиционо-развојне банке Републике Српске а.д. Бања Лука издане 3 гаранције у износу од 2.849.900,00 КМ. Двије од наведених гаранција из ове линије – за клијенте ОЦ Јахорина а.д. Пале и CASTELLINA SRPSKA д.о.о. Модрича су пласиране директно од Инвестиционо-развојне банке у виду позајмица, док је гаранција за клијента Пајо д.о.о. Соколац пласирана од стране МФ банке а.д. Бања Лука, из средстава ИРБ-а.</w:t>
      </w:r>
    </w:p>
    <w:p w14:paraId="3417BA3F"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p>
    <w:p w14:paraId="0D50CCEB" w14:textId="77777777" w:rsidR="0024593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lang w:val="sr-Cyrl-RS"/>
        </w:rPr>
        <w:t>Поред нових гаранција које су издане у 2023. години, Гарантни фонд је током године извршио и продужење 5 гаранција које су издане током претходних година у износу од 1.809.455,28 КМ, а којима је током 2023. године истицао период важења. Продужење је извршено по захтјеву клијената уз стандардну процедуру анализе и доношења одлуке о измјени, односно продужењу рока важења гаранција. Продужене су следеће гаранције: AGENT ENEX д.о.о, Верди д.о.о, ОМЦ д.о.о, БМб Делта д.о.о. Градишка и Сава Семберија а.д. Бијељина. Наведеним гаранцијама је Гарантни фонд подржао пласман кредитних средстава у износу од 4.046.027,43 КМ.</w:t>
      </w:r>
    </w:p>
    <w:p w14:paraId="6FD21887"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6A03E5FB"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lang w:val="sr-Cyrl-RS"/>
        </w:rPr>
        <w:t>У складу са чланом 9, став 1 Правилника о одобравању гаранција, одлуке о одобравању гаранција су донесене од стране одговарајућег органа Фонда, у зависности од износа гаранције, односно укупне изложености према клијенту. За гаранције, односно укупне изложености веће од 750.000,00 КМ одлуку доноси Влада Републике Српске на пр</w:t>
      </w:r>
      <w:r>
        <w:rPr>
          <w:rFonts w:asciiTheme="minorHAnsi" w:hAnsiTheme="minorHAnsi"/>
          <w:sz w:val="20"/>
          <w:szCs w:val="20"/>
          <w:lang w:val="sr-Cyrl-RS"/>
        </w:rPr>
        <w:t xml:space="preserve">иједлог Гарантног одбора Фонда. Од </w:t>
      </w:r>
      <w:r w:rsidRPr="00AD5361">
        <w:rPr>
          <w:rFonts w:asciiTheme="minorHAnsi" w:hAnsiTheme="minorHAnsi"/>
          <w:sz w:val="20"/>
          <w:szCs w:val="20"/>
          <w:lang w:val="sr-Cyrl-RS"/>
        </w:rPr>
        <w:t>стране овог органа</w:t>
      </w:r>
      <w:r>
        <w:rPr>
          <w:rFonts w:asciiTheme="minorHAnsi" w:hAnsiTheme="minorHAnsi"/>
          <w:sz w:val="20"/>
          <w:szCs w:val="20"/>
          <w:lang w:val="sr-Cyrl-RS"/>
        </w:rPr>
        <w:t xml:space="preserve"> су током 2023. године</w:t>
      </w:r>
      <w:r w:rsidRPr="00AD5361">
        <w:rPr>
          <w:rFonts w:asciiTheme="minorHAnsi" w:hAnsiTheme="minorHAnsi"/>
          <w:sz w:val="20"/>
          <w:szCs w:val="20"/>
          <w:lang w:val="sr-Cyrl-RS"/>
        </w:rPr>
        <w:t xml:space="preserve"> донесене 4 одлуке о одобравању гаранције и 2 одлуке о измјени гаранције. Гарантни одбор Фонда је током 2023. године донио 4 одлуке о одобравању гаранције и 3 одлуке о измјени, односно продужењу рока важења гаранције.</w:t>
      </w:r>
    </w:p>
    <w:p w14:paraId="329AC09A"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75DB956E"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040093BA"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252FF64D"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3C08B680"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354E0DC3" w14:textId="77777777" w:rsidR="00AD5361" w:rsidRPr="00245931" w:rsidRDefault="00AD5361" w:rsidP="00AD5361">
      <w:pPr>
        <w:tabs>
          <w:tab w:val="left" w:pos="7381"/>
        </w:tabs>
        <w:autoSpaceDE w:val="0"/>
        <w:autoSpaceDN w:val="0"/>
        <w:adjustRightInd w:val="0"/>
        <w:rPr>
          <w:rFonts w:asciiTheme="minorHAnsi" w:hAnsiTheme="minorHAnsi"/>
          <w:sz w:val="20"/>
          <w:szCs w:val="20"/>
          <w:lang w:val="sr-Cyrl-RS"/>
        </w:rPr>
      </w:pPr>
    </w:p>
    <w:tbl>
      <w:tblPr>
        <w:tblW w:w="8764" w:type="dxa"/>
        <w:tblInd w:w="108" w:type="dxa"/>
        <w:tblLook w:val="04A0" w:firstRow="1" w:lastRow="0" w:firstColumn="1" w:lastColumn="0" w:noHBand="0" w:noVBand="1"/>
      </w:tblPr>
      <w:tblGrid>
        <w:gridCol w:w="3711"/>
        <w:gridCol w:w="1511"/>
        <w:gridCol w:w="1830"/>
        <w:gridCol w:w="1712"/>
      </w:tblGrid>
      <w:tr w:rsidR="001538EF" w:rsidRPr="005767EF" w14:paraId="6630360B" w14:textId="77777777" w:rsidTr="001538EF">
        <w:trPr>
          <w:trHeight w:val="517"/>
        </w:trPr>
        <w:tc>
          <w:tcPr>
            <w:tcW w:w="8764" w:type="dxa"/>
            <w:gridSpan w:val="4"/>
            <w:vMerge w:val="restart"/>
            <w:tcBorders>
              <w:top w:val="nil"/>
              <w:left w:val="nil"/>
              <w:bottom w:val="nil"/>
              <w:right w:val="nil"/>
            </w:tcBorders>
            <w:shd w:val="clear" w:color="000000" w:fill="FFFFFF"/>
            <w:vAlign w:val="center"/>
            <w:hideMark/>
          </w:tcPr>
          <w:p w14:paraId="0E72D3B3" w14:textId="77777777" w:rsidR="001538EF" w:rsidRPr="00D25A1F" w:rsidRDefault="000D005A" w:rsidP="00DD2BAA">
            <w:pPr>
              <w:jc w:val="center"/>
              <w:rPr>
                <w:rFonts w:asciiTheme="minorHAnsi" w:hAnsiTheme="minorHAnsi"/>
                <w:b/>
                <w:bCs/>
                <w:sz w:val="20"/>
                <w:szCs w:val="20"/>
                <w:lang w:val="sr-Cyrl-RS" w:eastAsia="sr-Latn-RS"/>
              </w:rPr>
            </w:pPr>
            <w:r w:rsidRPr="005767EF">
              <w:rPr>
                <w:rFonts w:asciiTheme="minorHAnsi" w:hAnsiTheme="minorHAnsi"/>
                <w:b/>
                <w:bCs/>
                <w:color w:val="auto"/>
                <w:sz w:val="20"/>
                <w:szCs w:val="20"/>
                <w:lang w:val="sr-Latn-RS" w:eastAsia="sr-Latn-RS"/>
              </w:rPr>
              <w:t>Преглед изданих гаранција по финансијским по</w:t>
            </w:r>
            <w:r w:rsidRPr="005767EF">
              <w:rPr>
                <w:rFonts w:asciiTheme="minorHAnsi" w:hAnsiTheme="minorHAnsi"/>
                <w:b/>
                <w:bCs/>
                <w:color w:val="auto"/>
                <w:sz w:val="20"/>
                <w:szCs w:val="20"/>
                <w:lang w:val="sr-Cyrl-BA" w:eastAsia="sr-Latn-RS"/>
              </w:rPr>
              <w:t>с</w:t>
            </w:r>
            <w:r w:rsidR="00DD2BAA">
              <w:rPr>
                <w:rFonts w:asciiTheme="minorHAnsi" w:hAnsiTheme="minorHAnsi"/>
                <w:b/>
                <w:bCs/>
                <w:color w:val="auto"/>
                <w:sz w:val="20"/>
                <w:szCs w:val="20"/>
                <w:lang w:val="sr-Latn-RS" w:eastAsia="sr-Latn-RS"/>
              </w:rPr>
              <w:t>р</w:t>
            </w:r>
            <w:r w:rsidR="00DD2BAA">
              <w:rPr>
                <w:rFonts w:asciiTheme="minorHAnsi" w:hAnsiTheme="minorHAnsi"/>
                <w:b/>
                <w:bCs/>
                <w:color w:val="auto"/>
                <w:sz w:val="20"/>
                <w:szCs w:val="20"/>
                <w:lang w:val="sr-Cyrl-RS" w:eastAsia="sr-Latn-RS"/>
              </w:rPr>
              <w:t>е</w:t>
            </w:r>
            <w:r w:rsidRPr="005767EF">
              <w:rPr>
                <w:rFonts w:asciiTheme="minorHAnsi" w:hAnsiTheme="minorHAnsi"/>
                <w:b/>
                <w:bCs/>
                <w:color w:val="auto"/>
                <w:sz w:val="20"/>
                <w:szCs w:val="20"/>
                <w:lang w:val="sr-Latn-RS" w:eastAsia="sr-Latn-RS"/>
              </w:rPr>
              <w:t xml:space="preserve">дницима </w:t>
            </w:r>
            <w:r w:rsidR="00245931">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период</w:t>
            </w:r>
            <w:r w:rsidR="00245931">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01.01.2023 - 31.12.2023.</w:t>
            </w:r>
            <w:r w:rsidR="00D25A1F">
              <w:rPr>
                <w:rFonts w:asciiTheme="minorHAnsi" w:hAnsiTheme="minorHAnsi"/>
                <w:b/>
                <w:bCs/>
                <w:color w:val="auto"/>
                <w:sz w:val="20"/>
                <w:szCs w:val="20"/>
                <w:lang w:val="sr-Cyrl-RS" w:eastAsia="sr-Latn-RS"/>
              </w:rPr>
              <w:t xml:space="preserve"> године</w:t>
            </w:r>
          </w:p>
        </w:tc>
      </w:tr>
      <w:tr w:rsidR="001538EF" w:rsidRPr="005767EF" w14:paraId="36DAABB2" w14:textId="77777777" w:rsidTr="001769FF">
        <w:trPr>
          <w:trHeight w:val="517"/>
        </w:trPr>
        <w:tc>
          <w:tcPr>
            <w:tcW w:w="8764" w:type="dxa"/>
            <w:gridSpan w:val="4"/>
            <w:vMerge/>
            <w:tcBorders>
              <w:top w:val="nil"/>
              <w:left w:val="nil"/>
              <w:bottom w:val="nil"/>
              <w:right w:val="nil"/>
            </w:tcBorders>
            <w:vAlign w:val="center"/>
            <w:hideMark/>
          </w:tcPr>
          <w:p w14:paraId="629630CA" w14:textId="77777777" w:rsidR="001538EF" w:rsidRPr="005767EF" w:rsidRDefault="001538EF" w:rsidP="001538EF">
            <w:pPr>
              <w:rPr>
                <w:rFonts w:asciiTheme="minorHAnsi" w:hAnsiTheme="minorHAnsi"/>
                <w:b/>
                <w:bCs/>
                <w:sz w:val="20"/>
                <w:szCs w:val="20"/>
                <w:lang w:val="sr-Latn-RS" w:eastAsia="sr-Latn-RS"/>
              </w:rPr>
            </w:pPr>
          </w:p>
        </w:tc>
      </w:tr>
      <w:tr w:rsidR="001538EF" w:rsidRPr="005767EF" w14:paraId="6C384414" w14:textId="77777777" w:rsidTr="000D005A">
        <w:trPr>
          <w:trHeight w:val="289"/>
        </w:trPr>
        <w:tc>
          <w:tcPr>
            <w:tcW w:w="8764" w:type="dxa"/>
            <w:gridSpan w:val="4"/>
            <w:tcBorders>
              <w:top w:val="nil"/>
              <w:left w:val="nil"/>
              <w:bottom w:val="nil"/>
              <w:right w:val="nil"/>
            </w:tcBorders>
            <w:shd w:val="clear" w:color="000000" w:fill="FFFFFF"/>
            <w:hideMark/>
          </w:tcPr>
          <w:p w14:paraId="7DF99E3B" w14:textId="77777777" w:rsidR="001538EF" w:rsidRPr="005767EF" w:rsidRDefault="000D005A" w:rsidP="00245931">
            <w:pPr>
              <w:jc w:val="right"/>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 xml:space="preserve">Табела </w:t>
            </w:r>
            <w:r w:rsidR="00245931">
              <w:rPr>
                <w:rFonts w:asciiTheme="minorHAnsi" w:hAnsiTheme="minorHAnsi"/>
                <w:b/>
                <w:bCs/>
                <w:sz w:val="20"/>
                <w:szCs w:val="20"/>
                <w:lang w:val="sr-Cyrl-RS" w:eastAsia="sr-Latn-RS"/>
              </w:rPr>
              <w:t>2</w:t>
            </w:r>
          </w:p>
        </w:tc>
      </w:tr>
      <w:tr w:rsidR="001538EF" w:rsidRPr="005767EF" w14:paraId="7EC25A6E" w14:textId="77777777" w:rsidTr="000D005A">
        <w:trPr>
          <w:trHeight w:val="627"/>
        </w:trPr>
        <w:tc>
          <w:tcPr>
            <w:tcW w:w="3711" w:type="dxa"/>
            <w:tcBorders>
              <w:top w:val="single" w:sz="4" w:space="0" w:color="auto"/>
              <w:left w:val="single" w:sz="4" w:space="0" w:color="auto"/>
              <w:bottom w:val="single" w:sz="4" w:space="0" w:color="auto"/>
              <w:right w:val="single" w:sz="4" w:space="0" w:color="000000"/>
            </w:tcBorders>
            <w:shd w:val="clear" w:color="auto" w:fill="8DB3E2" w:themeFill="text2" w:themeFillTint="66"/>
            <w:vAlign w:val="center"/>
            <w:hideMark/>
          </w:tcPr>
          <w:p w14:paraId="45989CD7"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Финансијски посредник</w:t>
            </w:r>
          </w:p>
        </w:tc>
        <w:tc>
          <w:tcPr>
            <w:tcW w:w="1511" w:type="dxa"/>
            <w:tcBorders>
              <w:top w:val="single" w:sz="4" w:space="0" w:color="auto"/>
              <w:left w:val="nil"/>
              <w:bottom w:val="single" w:sz="4" w:space="0" w:color="auto"/>
              <w:right w:val="single" w:sz="4" w:space="0" w:color="auto"/>
            </w:tcBorders>
            <w:shd w:val="clear" w:color="auto" w:fill="8DB3E2" w:themeFill="text2" w:themeFillTint="66"/>
            <w:vAlign w:val="center"/>
          </w:tcPr>
          <w:p w14:paraId="0AC5BB67"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Број гаранција</w:t>
            </w:r>
          </w:p>
        </w:tc>
        <w:tc>
          <w:tcPr>
            <w:tcW w:w="1830" w:type="dxa"/>
            <w:tcBorders>
              <w:top w:val="single" w:sz="4" w:space="0" w:color="auto"/>
              <w:left w:val="nil"/>
              <w:bottom w:val="single" w:sz="4" w:space="0" w:color="auto"/>
              <w:right w:val="single" w:sz="4" w:space="0" w:color="auto"/>
            </w:tcBorders>
            <w:shd w:val="clear" w:color="auto" w:fill="8DB3E2" w:themeFill="text2" w:themeFillTint="66"/>
            <w:vAlign w:val="center"/>
          </w:tcPr>
          <w:p w14:paraId="5EB302FB"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Износ кредита</w:t>
            </w:r>
          </w:p>
        </w:tc>
        <w:tc>
          <w:tcPr>
            <w:tcW w:w="1712" w:type="dxa"/>
            <w:tcBorders>
              <w:top w:val="single" w:sz="4" w:space="0" w:color="auto"/>
              <w:left w:val="nil"/>
              <w:bottom w:val="single" w:sz="4" w:space="0" w:color="auto"/>
              <w:right w:val="single" w:sz="4" w:space="0" w:color="auto"/>
            </w:tcBorders>
            <w:shd w:val="clear" w:color="auto" w:fill="8DB3E2" w:themeFill="text2" w:themeFillTint="66"/>
            <w:vAlign w:val="center"/>
          </w:tcPr>
          <w:p w14:paraId="1486499A"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Износ гаранције</w:t>
            </w:r>
          </w:p>
        </w:tc>
      </w:tr>
      <w:tr w:rsidR="001538EF" w:rsidRPr="005767EF" w14:paraId="2C7DE0C8"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11424BA" w14:textId="77777777" w:rsidR="001538EF" w:rsidRPr="005767EF" w:rsidRDefault="00DB46A9" w:rsidP="001538EF">
            <w:pPr>
              <w:jc w:val="left"/>
              <w:rPr>
                <w:rFonts w:asciiTheme="minorHAnsi" w:hAnsiTheme="minorHAnsi"/>
                <w:caps/>
                <w:sz w:val="20"/>
                <w:szCs w:val="20"/>
                <w:lang w:val="sr-Latn-RS" w:eastAsia="sr-Latn-RS"/>
              </w:rPr>
            </w:pPr>
            <w:r w:rsidRPr="005767EF">
              <w:rPr>
                <w:rFonts w:asciiTheme="minorHAnsi" w:hAnsiTheme="minorHAnsi"/>
                <w:sz w:val="20"/>
                <w:szCs w:val="20"/>
                <w:lang w:val="sr-Cyrl-BA" w:eastAsia="sr-Latn-RS"/>
              </w:rPr>
              <w:t xml:space="preserve">Наша </w:t>
            </w:r>
            <w:r w:rsidRPr="005767EF">
              <w:rPr>
                <w:rFonts w:asciiTheme="minorHAnsi" w:hAnsiTheme="minorHAnsi"/>
                <w:sz w:val="20"/>
                <w:szCs w:val="20"/>
                <w:lang w:val="sr-Latn-RS" w:eastAsia="sr-Latn-RS"/>
              </w:rPr>
              <w:t>банк</w:t>
            </w:r>
            <w:r w:rsidRPr="005767EF">
              <w:rPr>
                <w:rFonts w:asciiTheme="minorHAnsi" w:hAnsiTheme="minorHAnsi"/>
                <w:sz w:val="20"/>
                <w:szCs w:val="20"/>
                <w:lang w:val="sr-Cyrl-BA" w:eastAsia="sr-Latn-RS"/>
              </w:rPr>
              <w:t>а</w:t>
            </w:r>
            <w:r w:rsidRPr="005767EF">
              <w:rPr>
                <w:rFonts w:asciiTheme="minorHAnsi" w:hAnsiTheme="minorHAnsi"/>
                <w:sz w:val="20"/>
                <w:szCs w:val="20"/>
                <w:lang w:val="sr-Latn-RS" w:eastAsia="sr-Latn-RS"/>
              </w:rPr>
              <w:t xml:space="preserve"> а.д. Бањ</w:t>
            </w:r>
            <w:r>
              <w:rPr>
                <w:rFonts w:asciiTheme="minorHAnsi" w:hAnsiTheme="minorHAnsi"/>
                <w:sz w:val="20"/>
                <w:szCs w:val="20"/>
                <w:lang w:val="sr-Latn-RS" w:eastAsia="sr-Latn-RS"/>
              </w:rPr>
              <w:t xml:space="preserve">а </w:t>
            </w:r>
            <w:r>
              <w:rPr>
                <w:rFonts w:asciiTheme="minorHAnsi" w:hAnsiTheme="minorHAnsi"/>
                <w:sz w:val="20"/>
                <w:szCs w:val="20"/>
                <w:lang w:val="sr-Cyrl-RS" w:eastAsia="sr-Latn-RS"/>
              </w:rPr>
              <w:t>Л</w:t>
            </w:r>
            <w:r w:rsidRPr="005767EF">
              <w:rPr>
                <w:rFonts w:asciiTheme="minorHAnsi" w:hAnsiTheme="minorHAnsi"/>
                <w:sz w:val="20"/>
                <w:szCs w:val="20"/>
                <w:lang w:val="sr-Latn-RS" w:eastAsia="sr-Latn-RS"/>
              </w:rPr>
              <w:t>ука</w:t>
            </w:r>
          </w:p>
        </w:tc>
        <w:tc>
          <w:tcPr>
            <w:tcW w:w="1511" w:type="dxa"/>
            <w:tcBorders>
              <w:top w:val="nil"/>
              <w:left w:val="nil"/>
              <w:bottom w:val="single" w:sz="4" w:space="0" w:color="auto"/>
              <w:right w:val="single" w:sz="4" w:space="0" w:color="auto"/>
            </w:tcBorders>
            <w:shd w:val="clear" w:color="000000" w:fill="FFFFFF"/>
            <w:vAlign w:val="center"/>
            <w:hideMark/>
          </w:tcPr>
          <w:p w14:paraId="7CD1A34C" w14:textId="77777777" w:rsidR="001538EF" w:rsidRPr="005767EF" w:rsidRDefault="001538EF" w:rsidP="001538EF">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w:t>
            </w:r>
          </w:p>
        </w:tc>
        <w:tc>
          <w:tcPr>
            <w:tcW w:w="1830" w:type="dxa"/>
            <w:tcBorders>
              <w:top w:val="nil"/>
              <w:left w:val="nil"/>
              <w:bottom w:val="single" w:sz="4" w:space="0" w:color="auto"/>
              <w:right w:val="single" w:sz="4" w:space="0" w:color="auto"/>
            </w:tcBorders>
            <w:shd w:val="clear" w:color="000000" w:fill="FFFFFF"/>
            <w:vAlign w:val="center"/>
            <w:hideMark/>
          </w:tcPr>
          <w:p w14:paraId="11728F80" w14:textId="77777777" w:rsidR="001538EF" w:rsidRPr="005767EF" w:rsidRDefault="00A408DF" w:rsidP="001538EF">
            <w:pPr>
              <w:jc w:val="right"/>
              <w:rPr>
                <w:rFonts w:asciiTheme="minorHAnsi" w:hAnsiTheme="minorHAnsi"/>
                <w:sz w:val="20"/>
                <w:szCs w:val="20"/>
                <w:lang w:val="sr-Latn-RS" w:eastAsia="sr-Latn-RS"/>
              </w:rPr>
            </w:pPr>
            <w:r w:rsidRPr="005767EF">
              <w:rPr>
                <w:rFonts w:asciiTheme="minorHAnsi" w:hAnsiTheme="minorHAnsi"/>
                <w:sz w:val="20"/>
                <w:szCs w:val="20"/>
                <w:lang w:val="sr-Cyrl-BA" w:eastAsia="sr-Latn-RS"/>
              </w:rPr>
              <w:t>110</w:t>
            </w:r>
            <w:r w:rsidR="001538EF" w:rsidRPr="005767EF">
              <w:rPr>
                <w:rFonts w:asciiTheme="minorHAnsi" w:hAnsiTheme="minorHAnsi"/>
                <w:sz w:val="20"/>
                <w:szCs w:val="20"/>
                <w:lang w:val="sr-Latn-RS" w:eastAsia="sr-Latn-RS"/>
              </w:rPr>
              <w:t>.000,00</w:t>
            </w:r>
          </w:p>
        </w:tc>
        <w:tc>
          <w:tcPr>
            <w:tcW w:w="1712" w:type="dxa"/>
            <w:tcBorders>
              <w:top w:val="nil"/>
              <w:left w:val="nil"/>
              <w:bottom w:val="single" w:sz="4" w:space="0" w:color="auto"/>
              <w:right w:val="single" w:sz="4" w:space="0" w:color="auto"/>
            </w:tcBorders>
            <w:shd w:val="clear" w:color="000000" w:fill="FFFFFF"/>
            <w:vAlign w:val="center"/>
            <w:hideMark/>
          </w:tcPr>
          <w:p w14:paraId="72F7EE4C" w14:textId="77777777" w:rsidR="001538EF" w:rsidRPr="005767EF" w:rsidRDefault="00A408DF" w:rsidP="001538EF">
            <w:pPr>
              <w:jc w:val="right"/>
              <w:rPr>
                <w:rFonts w:asciiTheme="minorHAnsi" w:hAnsiTheme="minorHAnsi"/>
                <w:sz w:val="20"/>
                <w:szCs w:val="20"/>
                <w:lang w:val="sr-Latn-RS" w:eastAsia="sr-Latn-RS"/>
              </w:rPr>
            </w:pPr>
            <w:r w:rsidRPr="005767EF">
              <w:rPr>
                <w:rFonts w:asciiTheme="minorHAnsi" w:hAnsiTheme="minorHAnsi"/>
                <w:sz w:val="20"/>
                <w:szCs w:val="20"/>
                <w:lang w:val="sr-Cyrl-BA" w:eastAsia="sr-Latn-RS"/>
              </w:rPr>
              <w:t>55</w:t>
            </w:r>
            <w:r w:rsidR="001538EF" w:rsidRPr="005767EF">
              <w:rPr>
                <w:rFonts w:asciiTheme="minorHAnsi" w:hAnsiTheme="minorHAnsi"/>
                <w:sz w:val="20"/>
                <w:szCs w:val="20"/>
                <w:lang w:val="sr-Latn-RS" w:eastAsia="sr-Latn-RS"/>
              </w:rPr>
              <w:t>.000,00</w:t>
            </w:r>
          </w:p>
        </w:tc>
      </w:tr>
      <w:tr w:rsidR="001538EF" w:rsidRPr="005767EF" w14:paraId="7EE67CCB"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4252634" w14:textId="77777777" w:rsidR="001538EF" w:rsidRPr="005767EF" w:rsidRDefault="00DB46A9" w:rsidP="001538EF">
            <w:pPr>
              <w:jc w:val="left"/>
              <w:rPr>
                <w:rFonts w:asciiTheme="minorHAnsi" w:hAnsiTheme="minorHAnsi"/>
                <w:caps/>
                <w:sz w:val="20"/>
                <w:szCs w:val="20"/>
                <w:lang w:val="sr-Latn-RS" w:eastAsia="sr-Latn-RS"/>
              </w:rPr>
            </w:pPr>
            <w:r w:rsidRPr="005767EF">
              <w:rPr>
                <w:rFonts w:asciiTheme="minorHAnsi" w:hAnsiTheme="minorHAnsi"/>
                <w:sz w:val="20"/>
                <w:szCs w:val="20"/>
                <w:lang w:val="sr-Latn-RS" w:eastAsia="sr-Latn-RS"/>
              </w:rPr>
              <w:t>Procredit bank д.д. Сарајево</w:t>
            </w:r>
          </w:p>
        </w:tc>
        <w:tc>
          <w:tcPr>
            <w:tcW w:w="1511" w:type="dxa"/>
            <w:tcBorders>
              <w:top w:val="nil"/>
              <w:left w:val="nil"/>
              <w:bottom w:val="single" w:sz="4" w:space="0" w:color="auto"/>
              <w:right w:val="single" w:sz="4" w:space="0" w:color="auto"/>
            </w:tcBorders>
            <w:shd w:val="clear" w:color="000000" w:fill="FFFFFF"/>
            <w:vAlign w:val="center"/>
            <w:hideMark/>
          </w:tcPr>
          <w:p w14:paraId="50379904" w14:textId="77777777" w:rsidR="001538EF" w:rsidRPr="005767EF" w:rsidRDefault="00612143" w:rsidP="001538EF">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1</w:t>
            </w:r>
          </w:p>
        </w:tc>
        <w:tc>
          <w:tcPr>
            <w:tcW w:w="1830" w:type="dxa"/>
            <w:tcBorders>
              <w:top w:val="nil"/>
              <w:left w:val="nil"/>
              <w:bottom w:val="single" w:sz="4" w:space="0" w:color="auto"/>
              <w:right w:val="single" w:sz="4" w:space="0" w:color="auto"/>
            </w:tcBorders>
            <w:shd w:val="clear" w:color="000000" w:fill="FFFFFF"/>
            <w:vAlign w:val="center"/>
            <w:hideMark/>
          </w:tcPr>
          <w:p w14:paraId="7FF61FAB" w14:textId="77777777" w:rsidR="001538EF" w:rsidRPr="005767EF" w:rsidRDefault="00194C22" w:rsidP="001538EF">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3.800.000,00</w:t>
            </w:r>
          </w:p>
        </w:tc>
        <w:tc>
          <w:tcPr>
            <w:tcW w:w="1712" w:type="dxa"/>
            <w:tcBorders>
              <w:top w:val="nil"/>
              <w:left w:val="nil"/>
              <w:bottom w:val="single" w:sz="4" w:space="0" w:color="auto"/>
              <w:right w:val="single" w:sz="4" w:space="0" w:color="auto"/>
            </w:tcBorders>
            <w:shd w:val="clear" w:color="000000" w:fill="FFFFFF"/>
            <w:vAlign w:val="center"/>
            <w:hideMark/>
          </w:tcPr>
          <w:p w14:paraId="2029CE92" w14:textId="77777777" w:rsidR="001538EF" w:rsidRPr="005767EF" w:rsidRDefault="002908EC" w:rsidP="00194C22">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1.</w:t>
            </w:r>
            <w:r w:rsidR="00194C22" w:rsidRPr="005767EF">
              <w:rPr>
                <w:rFonts w:asciiTheme="minorHAnsi" w:hAnsiTheme="minorHAnsi"/>
                <w:sz w:val="20"/>
                <w:szCs w:val="20"/>
                <w:lang w:val="sr-Cyrl-BA" w:eastAsia="sr-Latn-RS"/>
              </w:rPr>
              <w:t>500.000,00</w:t>
            </w:r>
          </w:p>
        </w:tc>
      </w:tr>
      <w:tr w:rsidR="001538EF" w:rsidRPr="005767EF" w14:paraId="6EF450D3"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B4E7C11" w14:textId="77777777" w:rsidR="001538EF" w:rsidRPr="005767EF" w:rsidRDefault="00DB46A9" w:rsidP="001538EF">
            <w:pPr>
              <w:jc w:val="left"/>
              <w:rPr>
                <w:rFonts w:asciiTheme="minorHAnsi" w:hAnsiTheme="minorHAnsi"/>
                <w:caps/>
                <w:sz w:val="20"/>
                <w:szCs w:val="20"/>
                <w:lang w:val="sr-Latn-RS" w:eastAsia="sr-Latn-RS"/>
              </w:rPr>
            </w:pPr>
            <w:r>
              <w:rPr>
                <w:rFonts w:asciiTheme="minorHAnsi" w:hAnsiTheme="minorHAnsi"/>
                <w:sz w:val="20"/>
                <w:szCs w:val="20"/>
                <w:lang w:val="sr-Latn-RS" w:eastAsia="sr-Latn-RS"/>
              </w:rPr>
              <w:t xml:space="preserve">Мф банка а.д. Бања </w:t>
            </w:r>
            <w:r>
              <w:rPr>
                <w:rFonts w:asciiTheme="minorHAnsi" w:hAnsiTheme="minorHAnsi"/>
                <w:sz w:val="20"/>
                <w:szCs w:val="20"/>
                <w:lang w:val="sr-Cyrl-RS" w:eastAsia="sr-Latn-RS"/>
              </w:rPr>
              <w:t>Л</w:t>
            </w:r>
            <w:r w:rsidRPr="005767EF">
              <w:rPr>
                <w:rFonts w:asciiTheme="minorHAnsi" w:hAnsiTheme="minorHAnsi"/>
                <w:sz w:val="20"/>
                <w:szCs w:val="20"/>
                <w:lang w:val="sr-Latn-RS" w:eastAsia="sr-Latn-RS"/>
              </w:rPr>
              <w:t>ука</w:t>
            </w:r>
          </w:p>
        </w:tc>
        <w:tc>
          <w:tcPr>
            <w:tcW w:w="1511" w:type="dxa"/>
            <w:tcBorders>
              <w:top w:val="nil"/>
              <w:left w:val="nil"/>
              <w:bottom w:val="single" w:sz="4" w:space="0" w:color="auto"/>
              <w:right w:val="single" w:sz="4" w:space="0" w:color="auto"/>
            </w:tcBorders>
            <w:shd w:val="clear" w:color="000000" w:fill="FFFFFF"/>
            <w:vAlign w:val="center"/>
            <w:hideMark/>
          </w:tcPr>
          <w:p w14:paraId="3CFA8FFD" w14:textId="77777777" w:rsidR="001538EF" w:rsidRPr="005767EF" w:rsidRDefault="002908EC" w:rsidP="001538EF">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4</w:t>
            </w:r>
          </w:p>
        </w:tc>
        <w:tc>
          <w:tcPr>
            <w:tcW w:w="1830" w:type="dxa"/>
            <w:tcBorders>
              <w:top w:val="nil"/>
              <w:left w:val="nil"/>
              <w:bottom w:val="single" w:sz="4" w:space="0" w:color="auto"/>
              <w:right w:val="single" w:sz="4" w:space="0" w:color="auto"/>
            </w:tcBorders>
            <w:shd w:val="clear" w:color="000000" w:fill="FFFFFF"/>
            <w:vAlign w:val="center"/>
            <w:hideMark/>
          </w:tcPr>
          <w:p w14:paraId="7372A177" w14:textId="77777777" w:rsidR="001538EF" w:rsidRPr="005767EF" w:rsidRDefault="002908EC" w:rsidP="001538EF">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4.650.000,00</w:t>
            </w:r>
          </w:p>
        </w:tc>
        <w:tc>
          <w:tcPr>
            <w:tcW w:w="1712" w:type="dxa"/>
            <w:tcBorders>
              <w:top w:val="nil"/>
              <w:left w:val="nil"/>
              <w:bottom w:val="single" w:sz="4" w:space="0" w:color="auto"/>
              <w:right w:val="single" w:sz="4" w:space="0" w:color="auto"/>
            </w:tcBorders>
            <w:shd w:val="clear" w:color="000000" w:fill="FFFFFF"/>
            <w:vAlign w:val="center"/>
            <w:hideMark/>
          </w:tcPr>
          <w:p w14:paraId="0FA95A27" w14:textId="77777777" w:rsidR="001538EF" w:rsidRPr="005767EF" w:rsidRDefault="002908EC" w:rsidP="001538EF">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1.315.260,00</w:t>
            </w:r>
          </w:p>
        </w:tc>
      </w:tr>
      <w:tr w:rsidR="001538EF" w:rsidRPr="005767EF" w14:paraId="2ABFBB37"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DCD9382" w14:textId="77777777" w:rsidR="001538EF" w:rsidRPr="00DB46A9" w:rsidRDefault="00DB46A9" w:rsidP="00DB46A9">
            <w:pPr>
              <w:jc w:val="left"/>
              <w:rPr>
                <w:rFonts w:asciiTheme="minorHAnsi" w:hAnsiTheme="minorHAnsi"/>
                <w:caps/>
                <w:sz w:val="20"/>
                <w:szCs w:val="20"/>
                <w:lang w:val="sr-Cyrl-RS" w:eastAsia="sr-Latn-RS"/>
              </w:rPr>
            </w:pPr>
            <w:r w:rsidRPr="005767EF">
              <w:rPr>
                <w:rFonts w:asciiTheme="minorHAnsi" w:hAnsiTheme="minorHAnsi"/>
                <w:sz w:val="20"/>
                <w:szCs w:val="20"/>
                <w:lang w:val="sr-Latn-RS" w:eastAsia="sr-Latn-RS"/>
              </w:rPr>
              <w:t xml:space="preserve">Фонд за развој и запошљавање </w:t>
            </w:r>
            <w:r>
              <w:rPr>
                <w:rFonts w:asciiTheme="minorHAnsi" w:hAnsiTheme="minorHAnsi"/>
                <w:sz w:val="20"/>
                <w:szCs w:val="20"/>
                <w:lang w:val="sr-Cyrl-RS" w:eastAsia="sr-Latn-RS"/>
              </w:rPr>
              <w:t xml:space="preserve">Републике Српске </w:t>
            </w:r>
            <w:r>
              <w:rPr>
                <w:rFonts w:asciiTheme="minorHAnsi" w:hAnsiTheme="minorHAnsi"/>
                <w:sz w:val="20"/>
                <w:szCs w:val="20"/>
                <w:lang w:val="sr-Latn-RS" w:eastAsia="sr-Latn-RS"/>
              </w:rPr>
              <w:t xml:space="preserve">а.д. Бања </w:t>
            </w:r>
            <w:r>
              <w:rPr>
                <w:rFonts w:asciiTheme="minorHAnsi" w:hAnsiTheme="minorHAnsi"/>
                <w:sz w:val="20"/>
                <w:szCs w:val="20"/>
                <w:lang w:val="sr-Cyrl-RS" w:eastAsia="sr-Latn-RS"/>
              </w:rPr>
              <w:t>Л</w:t>
            </w:r>
            <w:r>
              <w:rPr>
                <w:rFonts w:asciiTheme="minorHAnsi" w:hAnsiTheme="minorHAnsi"/>
                <w:sz w:val="20"/>
                <w:szCs w:val="20"/>
                <w:lang w:val="sr-Latn-RS" w:eastAsia="sr-Latn-RS"/>
              </w:rPr>
              <w:t xml:space="preserve">ука </w:t>
            </w:r>
          </w:p>
        </w:tc>
        <w:tc>
          <w:tcPr>
            <w:tcW w:w="1511" w:type="dxa"/>
            <w:tcBorders>
              <w:top w:val="nil"/>
              <w:left w:val="nil"/>
              <w:bottom w:val="single" w:sz="4" w:space="0" w:color="auto"/>
              <w:right w:val="single" w:sz="4" w:space="0" w:color="auto"/>
            </w:tcBorders>
            <w:shd w:val="clear" w:color="000000" w:fill="FFFFFF"/>
            <w:vAlign w:val="center"/>
            <w:hideMark/>
          </w:tcPr>
          <w:p w14:paraId="42A0A896" w14:textId="77777777" w:rsidR="001538EF" w:rsidRPr="005767EF" w:rsidRDefault="00B86275" w:rsidP="001538EF">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2</w:t>
            </w:r>
          </w:p>
        </w:tc>
        <w:tc>
          <w:tcPr>
            <w:tcW w:w="1830" w:type="dxa"/>
            <w:tcBorders>
              <w:top w:val="nil"/>
              <w:left w:val="nil"/>
              <w:bottom w:val="single" w:sz="4" w:space="0" w:color="auto"/>
              <w:right w:val="single" w:sz="4" w:space="0" w:color="auto"/>
            </w:tcBorders>
            <w:shd w:val="clear" w:color="000000" w:fill="FFFFFF"/>
            <w:vAlign w:val="center"/>
            <w:hideMark/>
          </w:tcPr>
          <w:p w14:paraId="28704B79" w14:textId="77777777" w:rsidR="001538EF" w:rsidRPr="005767EF" w:rsidRDefault="000D005A" w:rsidP="001538EF">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17.200</w:t>
            </w:r>
            <w:r w:rsidR="00A408DF" w:rsidRPr="005767EF">
              <w:rPr>
                <w:rFonts w:asciiTheme="minorHAnsi" w:hAnsiTheme="minorHAnsi"/>
                <w:sz w:val="20"/>
                <w:szCs w:val="20"/>
                <w:lang w:val="sr-Cyrl-BA" w:eastAsia="sr-Latn-RS"/>
              </w:rPr>
              <w:t>.000,00</w:t>
            </w:r>
          </w:p>
        </w:tc>
        <w:tc>
          <w:tcPr>
            <w:tcW w:w="1712" w:type="dxa"/>
            <w:tcBorders>
              <w:top w:val="nil"/>
              <w:left w:val="nil"/>
              <w:bottom w:val="single" w:sz="4" w:space="0" w:color="auto"/>
              <w:right w:val="single" w:sz="4" w:space="0" w:color="auto"/>
            </w:tcBorders>
            <w:shd w:val="clear" w:color="000000" w:fill="FFFFFF"/>
            <w:vAlign w:val="center"/>
            <w:hideMark/>
          </w:tcPr>
          <w:p w14:paraId="770C37A5" w14:textId="77777777" w:rsidR="001538EF" w:rsidRPr="005767EF" w:rsidRDefault="000D005A" w:rsidP="001538EF">
            <w:pPr>
              <w:jc w:val="right"/>
              <w:rPr>
                <w:rFonts w:asciiTheme="minorHAnsi" w:hAnsiTheme="minorHAnsi"/>
                <w:sz w:val="20"/>
                <w:szCs w:val="20"/>
                <w:lang w:val="sr-Cyrl-BA" w:eastAsia="sr-Latn-RS"/>
              </w:rPr>
            </w:pPr>
            <w:r w:rsidRPr="005767EF">
              <w:rPr>
                <w:rFonts w:asciiTheme="minorHAnsi" w:hAnsiTheme="minorHAnsi"/>
                <w:sz w:val="20"/>
                <w:szCs w:val="20"/>
                <w:lang w:val="sr-Cyrl-BA" w:eastAsia="sr-Latn-RS"/>
              </w:rPr>
              <w:t>2.600.000,00</w:t>
            </w:r>
          </w:p>
        </w:tc>
      </w:tr>
      <w:tr w:rsidR="001538EF" w:rsidRPr="005767EF" w14:paraId="265EFFAF" w14:textId="77777777" w:rsidTr="000D005A">
        <w:trPr>
          <w:trHeight w:val="501"/>
        </w:trPr>
        <w:tc>
          <w:tcPr>
            <w:tcW w:w="371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187DF3A4" w14:textId="77777777" w:rsidR="001538EF" w:rsidRPr="005767EF" w:rsidRDefault="00FB10AB" w:rsidP="001538EF">
            <w:pPr>
              <w:jc w:val="left"/>
              <w:rPr>
                <w:rFonts w:asciiTheme="minorHAnsi" w:hAnsiTheme="minorHAnsi"/>
                <w:b/>
                <w:bCs/>
                <w:sz w:val="20"/>
                <w:szCs w:val="20"/>
                <w:lang w:val="sr-Latn-RS" w:eastAsia="sr-Latn-RS"/>
              </w:rPr>
            </w:pPr>
            <w:r w:rsidRPr="005767EF">
              <w:rPr>
                <w:rFonts w:asciiTheme="minorHAnsi" w:hAnsiTheme="minorHAnsi"/>
                <w:b/>
                <w:bCs/>
                <w:sz w:val="20"/>
                <w:szCs w:val="20"/>
                <w:lang w:val="sr-Cyrl-BA" w:eastAsia="sr-Latn-RS"/>
              </w:rPr>
              <w:t>Укупно</w:t>
            </w:r>
          </w:p>
        </w:tc>
        <w:tc>
          <w:tcPr>
            <w:tcW w:w="1511" w:type="dxa"/>
            <w:tcBorders>
              <w:top w:val="nil"/>
              <w:left w:val="nil"/>
              <w:bottom w:val="single" w:sz="4" w:space="0" w:color="auto"/>
              <w:right w:val="single" w:sz="4" w:space="0" w:color="auto"/>
            </w:tcBorders>
            <w:shd w:val="clear" w:color="auto" w:fill="8DB3E2" w:themeFill="text2" w:themeFillTint="66"/>
            <w:vAlign w:val="center"/>
            <w:hideMark/>
          </w:tcPr>
          <w:p w14:paraId="32F89912" w14:textId="77777777" w:rsidR="001538EF" w:rsidRPr="005767EF" w:rsidRDefault="00245931" w:rsidP="001538EF">
            <w:pPr>
              <w:jc w:val="center"/>
              <w:rPr>
                <w:rFonts w:asciiTheme="minorHAnsi" w:hAnsiTheme="minorHAnsi"/>
                <w:b/>
                <w:bCs/>
                <w:sz w:val="20"/>
                <w:szCs w:val="20"/>
                <w:lang w:val="sr-Cyrl-BA" w:eastAsia="sr-Latn-RS"/>
              </w:rPr>
            </w:pPr>
            <w:r>
              <w:rPr>
                <w:rFonts w:asciiTheme="minorHAnsi" w:hAnsiTheme="minorHAnsi"/>
                <w:b/>
                <w:bCs/>
                <w:sz w:val="20"/>
                <w:szCs w:val="20"/>
                <w:lang w:val="sr-Cyrl-BA" w:eastAsia="sr-Latn-RS"/>
              </w:rPr>
              <w:t>8</w:t>
            </w:r>
          </w:p>
        </w:tc>
        <w:tc>
          <w:tcPr>
            <w:tcW w:w="1830" w:type="dxa"/>
            <w:tcBorders>
              <w:top w:val="nil"/>
              <w:left w:val="nil"/>
              <w:bottom w:val="single" w:sz="4" w:space="0" w:color="auto"/>
              <w:right w:val="single" w:sz="4" w:space="0" w:color="auto"/>
            </w:tcBorders>
            <w:shd w:val="clear" w:color="auto" w:fill="8DB3E2" w:themeFill="text2" w:themeFillTint="66"/>
            <w:vAlign w:val="center"/>
            <w:hideMark/>
          </w:tcPr>
          <w:p w14:paraId="06150DC0" w14:textId="77777777" w:rsidR="001538EF" w:rsidRPr="005767EF" w:rsidRDefault="000D005A" w:rsidP="00245931">
            <w:pPr>
              <w:jc w:val="right"/>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2</w:t>
            </w:r>
            <w:r w:rsidR="00245931">
              <w:rPr>
                <w:rFonts w:asciiTheme="minorHAnsi" w:hAnsiTheme="minorHAnsi"/>
                <w:b/>
                <w:bCs/>
                <w:sz w:val="20"/>
                <w:szCs w:val="20"/>
                <w:lang w:val="sr-Cyrl-BA" w:eastAsia="sr-Latn-RS"/>
              </w:rPr>
              <w:t>5</w:t>
            </w:r>
            <w:r w:rsidRPr="005767EF">
              <w:rPr>
                <w:rFonts w:asciiTheme="minorHAnsi" w:hAnsiTheme="minorHAnsi"/>
                <w:b/>
                <w:bCs/>
                <w:sz w:val="20"/>
                <w:szCs w:val="20"/>
                <w:lang w:val="sr-Cyrl-BA" w:eastAsia="sr-Latn-RS"/>
              </w:rPr>
              <w:t>.</w:t>
            </w:r>
            <w:r w:rsidR="00245931">
              <w:rPr>
                <w:rFonts w:asciiTheme="minorHAnsi" w:hAnsiTheme="minorHAnsi"/>
                <w:b/>
                <w:bCs/>
                <w:sz w:val="20"/>
                <w:szCs w:val="20"/>
                <w:lang w:val="sr-Cyrl-BA" w:eastAsia="sr-Latn-RS"/>
              </w:rPr>
              <w:t>7</w:t>
            </w:r>
            <w:r w:rsidRPr="005767EF">
              <w:rPr>
                <w:rFonts w:asciiTheme="minorHAnsi" w:hAnsiTheme="minorHAnsi"/>
                <w:b/>
                <w:bCs/>
                <w:sz w:val="20"/>
                <w:szCs w:val="20"/>
                <w:lang w:val="sr-Cyrl-BA" w:eastAsia="sr-Latn-RS"/>
              </w:rPr>
              <w:t>60.000,00</w:t>
            </w:r>
          </w:p>
        </w:tc>
        <w:tc>
          <w:tcPr>
            <w:tcW w:w="1712" w:type="dxa"/>
            <w:tcBorders>
              <w:top w:val="nil"/>
              <w:left w:val="nil"/>
              <w:bottom w:val="single" w:sz="4" w:space="0" w:color="auto"/>
              <w:right w:val="single" w:sz="4" w:space="0" w:color="auto"/>
            </w:tcBorders>
            <w:shd w:val="clear" w:color="auto" w:fill="8DB3E2" w:themeFill="text2" w:themeFillTint="66"/>
            <w:vAlign w:val="center"/>
            <w:hideMark/>
          </w:tcPr>
          <w:p w14:paraId="70BD39CA" w14:textId="77777777" w:rsidR="001538EF" w:rsidRPr="005767EF" w:rsidRDefault="00245931" w:rsidP="00245931">
            <w:pPr>
              <w:jc w:val="right"/>
              <w:rPr>
                <w:rFonts w:asciiTheme="minorHAnsi" w:hAnsiTheme="minorHAnsi"/>
                <w:b/>
                <w:bCs/>
                <w:sz w:val="20"/>
                <w:szCs w:val="20"/>
                <w:lang w:val="sr-Cyrl-BA" w:eastAsia="sr-Latn-RS"/>
              </w:rPr>
            </w:pPr>
            <w:r>
              <w:rPr>
                <w:rFonts w:asciiTheme="minorHAnsi" w:hAnsiTheme="minorHAnsi"/>
                <w:b/>
                <w:bCs/>
                <w:sz w:val="20"/>
                <w:szCs w:val="20"/>
                <w:lang w:val="sr-Cyrl-BA" w:eastAsia="sr-Latn-RS"/>
              </w:rPr>
              <w:t>5</w:t>
            </w:r>
            <w:r w:rsidR="000D005A" w:rsidRPr="005767EF">
              <w:rPr>
                <w:rFonts w:asciiTheme="minorHAnsi" w:hAnsiTheme="minorHAnsi"/>
                <w:b/>
                <w:bCs/>
                <w:sz w:val="20"/>
                <w:szCs w:val="20"/>
                <w:lang w:val="sr-Cyrl-BA" w:eastAsia="sr-Latn-RS"/>
              </w:rPr>
              <w:t>.</w:t>
            </w:r>
            <w:r>
              <w:rPr>
                <w:rFonts w:asciiTheme="minorHAnsi" w:hAnsiTheme="minorHAnsi"/>
                <w:b/>
                <w:bCs/>
                <w:sz w:val="20"/>
                <w:szCs w:val="20"/>
                <w:lang w:val="sr-Cyrl-BA" w:eastAsia="sr-Latn-RS"/>
              </w:rPr>
              <w:t>47</w:t>
            </w:r>
            <w:r w:rsidR="000D005A" w:rsidRPr="005767EF">
              <w:rPr>
                <w:rFonts w:asciiTheme="minorHAnsi" w:hAnsiTheme="minorHAnsi"/>
                <w:b/>
                <w:bCs/>
                <w:sz w:val="20"/>
                <w:szCs w:val="20"/>
                <w:lang w:val="sr-Cyrl-BA" w:eastAsia="sr-Latn-RS"/>
              </w:rPr>
              <w:t>0.260,00</w:t>
            </w:r>
          </w:p>
        </w:tc>
      </w:tr>
    </w:tbl>
    <w:p w14:paraId="25839572" w14:textId="77777777" w:rsidR="001538EF" w:rsidRPr="005767EF" w:rsidRDefault="001538EF" w:rsidP="00D368D4">
      <w:pPr>
        <w:autoSpaceDE w:val="0"/>
        <w:autoSpaceDN w:val="0"/>
        <w:adjustRightInd w:val="0"/>
        <w:rPr>
          <w:rFonts w:asciiTheme="minorHAnsi" w:eastAsiaTheme="minorHAnsi" w:hAnsiTheme="minorHAnsi"/>
          <w:color w:val="auto"/>
          <w:sz w:val="20"/>
          <w:szCs w:val="20"/>
          <w:lang w:eastAsia="en-US"/>
        </w:rPr>
      </w:pPr>
    </w:p>
    <w:p w14:paraId="44090B15" w14:textId="77777777" w:rsidR="00245931" w:rsidRPr="00D368D4" w:rsidRDefault="001769FF" w:rsidP="00D368D4">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Током </w:t>
      </w:r>
      <w:r w:rsidRPr="00D368D4">
        <w:rPr>
          <w:rFonts w:asciiTheme="minorHAnsi" w:eastAsiaTheme="minorHAnsi" w:hAnsiTheme="minorHAnsi"/>
          <w:color w:val="auto"/>
          <w:sz w:val="20"/>
          <w:szCs w:val="20"/>
          <w:lang w:val="sr-Cyrl-BA" w:eastAsia="en-US"/>
        </w:rPr>
        <w:t xml:space="preserve">2023. године, Гарантни фонд је издао појединачне гаранције у корист </w:t>
      </w:r>
      <w:r w:rsidR="00DD2BAA" w:rsidRPr="00D368D4">
        <w:rPr>
          <w:rFonts w:asciiTheme="minorHAnsi" w:eastAsiaTheme="minorHAnsi" w:hAnsiTheme="minorHAnsi"/>
          <w:color w:val="auto"/>
          <w:sz w:val="20"/>
          <w:szCs w:val="20"/>
          <w:lang w:val="sr-Cyrl-BA" w:eastAsia="en-US"/>
        </w:rPr>
        <w:t>чети</w:t>
      </w:r>
      <w:r w:rsidRPr="00D368D4">
        <w:rPr>
          <w:rFonts w:asciiTheme="minorHAnsi" w:eastAsiaTheme="minorHAnsi" w:hAnsiTheme="minorHAnsi"/>
          <w:color w:val="auto"/>
          <w:sz w:val="20"/>
          <w:szCs w:val="20"/>
          <w:lang w:val="sr-Cyrl-BA" w:eastAsia="en-US"/>
        </w:rPr>
        <w:t>ри финансијска посредника са којима има потписане Уговор</w:t>
      </w:r>
      <w:r w:rsidR="00DD2BAA" w:rsidRPr="00D368D4">
        <w:rPr>
          <w:rFonts w:asciiTheme="minorHAnsi" w:eastAsiaTheme="minorHAnsi" w:hAnsiTheme="minorHAnsi"/>
          <w:color w:val="auto"/>
          <w:sz w:val="20"/>
          <w:szCs w:val="20"/>
          <w:lang w:val="sr-Cyrl-BA" w:eastAsia="en-US"/>
        </w:rPr>
        <w:t xml:space="preserve">е о пословно-техничкој сарадњи. </w:t>
      </w:r>
      <w:r w:rsidRPr="00D368D4">
        <w:rPr>
          <w:rFonts w:asciiTheme="minorHAnsi" w:eastAsiaTheme="minorHAnsi" w:hAnsiTheme="minorHAnsi"/>
          <w:color w:val="auto"/>
          <w:sz w:val="20"/>
          <w:szCs w:val="20"/>
          <w:lang w:val="sr-Cyrl-BA" w:eastAsia="en-US"/>
        </w:rPr>
        <w:t xml:space="preserve">Четири гаранције у износу од 1.315.260,00 КМ су издане у корист </w:t>
      </w:r>
      <w:r w:rsidR="001538EF" w:rsidRPr="00D368D4">
        <w:rPr>
          <w:rFonts w:asciiTheme="minorHAnsi" w:eastAsiaTheme="minorHAnsi" w:hAnsiTheme="minorHAnsi"/>
          <w:color w:val="auto"/>
          <w:sz w:val="20"/>
          <w:szCs w:val="20"/>
          <w:lang w:val="sr-Cyrl-BA" w:eastAsia="en-US"/>
        </w:rPr>
        <w:t>МФ банке а</w:t>
      </w:r>
      <w:r w:rsidRPr="00D368D4">
        <w:rPr>
          <w:rFonts w:asciiTheme="minorHAnsi" w:eastAsiaTheme="minorHAnsi" w:hAnsiTheme="minorHAnsi"/>
          <w:color w:val="auto"/>
          <w:sz w:val="20"/>
          <w:szCs w:val="20"/>
          <w:lang w:val="sr-Cyrl-BA" w:eastAsia="en-US"/>
        </w:rPr>
        <w:t>.</w:t>
      </w:r>
      <w:r w:rsidR="001538EF" w:rsidRPr="00D368D4">
        <w:rPr>
          <w:rFonts w:asciiTheme="minorHAnsi" w:eastAsiaTheme="minorHAnsi" w:hAnsiTheme="minorHAnsi"/>
          <w:color w:val="auto"/>
          <w:sz w:val="20"/>
          <w:szCs w:val="20"/>
          <w:lang w:val="sr-Cyrl-BA" w:eastAsia="en-US"/>
        </w:rPr>
        <w:t>д</w:t>
      </w:r>
      <w:r w:rsidR="00245931" w:rsidRPr="00D368D4">
        <w:rPr>
          <w:rFonts w:asciiTheme="minorHAnsi" w:eastAsiaTheme="minorHAnsi" w:hAnsiTheme="minorHAnsi"/>
          <w:color w:val="auto"/>
          <w:sz w:val="20"/>
          <w:szCs w:val="20"/>
          <w:lang w:val="sr-Cyrl-BA" w:eastAsia="en-US"/>
        </w:rPr>
        <w:t xml:space="preserve">. Бања Лука. </w:t>
      </w:r>
      <w:r w:rsidRPr="00D368D4">
        <w:rPr>
          <w:rFonts w:asciiTheme="minorHAnsi" w:eastAsiaTheme="minorHAnsi" w:hAnsiTheme="minorHAnsi"/>
          <w:color w:val="auto"/>
          <w:sz w:val="20"/>
          <w:szCs w:val="20"/>
          <w:lang w:val="sr-Cyrl-BA" w:eastAsia="en-US"/>
        </w:rPr>
        <w:t xml:space="preserve"> </w:t>
      </w:r>
      <w:r w:rsidR="00245931" w:rsidRPr="00D368D4">
        <w:rPr>
          <w:rFonts w:asciiTheme="minorHAnsi" w:eastAsiaTheme="minorHAnsi" w:hAnsiTheme="minorHAnsi"/>
          <w:color w:val="auto"/>
          <w:sz w:val="20"/>
          <w:szCs w:val="20"/>
          <w:lang w:val="sr-Cyrl-BA" w:eastAsia="en-US"/>
        </w:rPr>
        <w:t>Двије гаранције су издане у корист Фонда за развој и запошљавање а.д. Бања Лука, и то по основу двије позајмице укупног износа 17.200.000,00 КМ, гдје припадајуће гаранције износе 2.600.000,00 КМ.</w:t>
      </w:r>
    </w:p>
    <w:p w14:paraId="29FB0836" w14:textId="77777777" w:rsidR="00A84DF8" w:rsidRPr="00D368D4" w:rsidRDefault="00A84DF8" w:rsidP="00D368D4">
      <w:pPr>
        <w:autoSpaceDE w:val="0"/>
        <w:autoSpaceDN w:val="0"/>
        <w:adjustRightInd w:val="0"/>
        <w:rPr>
          <w:rFonts w:asciiTheme="minorHAnsi" w:eastAsiaTheme="minorHAnsi" w:hAnsiTheme="minorHAnsi"/>
          <w:color w:val="auto"/>
          <w:sz w:val="20"/>
          <w:szCs w:val="20"/>
          <w:lang w:val="sr-Cyrl-BA" w:eastAsia="en-US"/>
        </w:rPr>
      </w:pPr>
    </w:p>
    <w:p w14:paraId="1E76C275" w14:textId="77777777" w:rsidR="001538EF" w:rsidRPr="00D368D4" w:rsidRDefault="00245931" w:rsidP="00D368D4">
      <w:pPr>
        <w:autoSpaceDE w:val="0"/>
        <w:autoSpaceDN w:val="0"/>
        <w:adjustRightInd w:val="0"/>
        <w:rPr>
          <w:rFonts w:asciiTheme="minorHAnsi" w:eastAsiaTheme="minorHAnsi" w:hAnsiTheme="minorHAnsi"/>
          <w:color w:val="auto"/>
          <w:sz w:val="20"/>
          <w:szCs w:val="20"/>
          <w:lang w:val="sr-Cyrl-BA" w:eastAsia="en-US"/>
        </w:rPr>
      </w:pPr>
      <w:r w:rsidRPr="00D368D4">
        <w:rPr>
          <w:rFonts w:asciiTheme="minorHAnsi" w:eastAsiaTheme="minorHAnsi" w:hAnsiTheme="minorHAnsi"/>
          <w:color w:val="auto"/>
          <w:sz w:val="20"/>
          <w:szCs w:val="20"/>
          <w:lang w:val="sr-Cyrl-BA" w:eastAsia="en-US"/>
        </w:rPr>
        <w:t xml:space="preserve">У </w:t>
      </w:r>
      <w:r w:rsidR="001769FF" w:rsidRPr="00D368D4">
        <w:rPr>
          <w:rFonts w:asciiTheme="minorHAnsi" w:eastAsiaTheme="minorHAnsi" w:hAnsiTheme="minorHAnsi"/>
          <w:color w:val="auto"/>
          <w:sz w:val="20"/>
          <w:szCs w:val="20"/>
          <w:lang w:val="sr-Cyrl-BA" w:eastAsia="en-US"/>
        </w:rPr>
        <w:t xml:space="preserve">корист Наше банке а.д. Бања Лука </w:t>
      </w:r>
      <w:r w:rsidRPr="00D368D4">
        <w:rPr>
          <w:rFonts w:asciiTheme="minorHAnsi" w:eastAsiaTheme="minorHAnsi" w:hAnsiTheme="minorHAnsi"/>
          <w:color w:val="auto"/>
          <w:sz w:val="20"/>
          <w:szCs w:val="20"/>
          <w:lang w:val="sr-Cyrl-BA" w:eastAsia="en-US"/>
        </w:rPr>
        <w:t xml:space="preserve">је издана једна гаранција у износу од 55.000,00 КМ, као обезбјеђење по кредиту од 110.000,00 КМ. Једна гаранција је издана и у корист </w:t>
      </w:r>
      <w:r w:rsidRPr="00D368D4">
        <w:rPr>
          <w:rFonts w:asciiTheme="minorHAnsi" w:eastAsiaTheme="minorHAnsi" w:hAnsiTheme="minorHAnsi"/>
          <w:color w:val="auto"/>
          <w:sz w:val="20"/>
          <w:szCs w:val="20"/>
          <w:lang w:eastAsia="en-US"/>
        </w:rPr>
        <w:t>P</w:t>
      </w:r>
      <w:r w:rsidRPr="00D368D4">
        <w:rPr>
          <w:rFonts w:asciiTheme="minorHAnsi" w:eastAsiaTheme="minorHAnsi" w:hAnsiTheme="minorHAnsi"/>
          <w:color w:val="auto"/>
          <w:sz w:val="20"/>
          <w:szCs w:val="20"/>
          <w:lang w:val="sr-Cyrl-BA" w:eastAsia="en-US"/>
        </w:rPr>
        <w:t xml:space="preserve">rocredit bank д.д. </w:t>
      </w:r>
      <w:r w:rsidRPr="00D368D4">
        <w:rPr>
          <w:rFonts w:asciiTheme="minorHAnsi" w:eastAsiaTheme="minorHAnsi" w:hAnsiTheme="minorHAnsi"/>
          <w:color w:val="auto"/>
          <w:sz w:val="20"/>
          <w:szCs w:val="20"/>
          <w:lang w:val="sr-Cyrl-RS" w:eastAsia="en-US"/>
        </w:rPr>
        <w:t>С</w:t>
      </w:r>
      <w:r w:rsidRPr="00D368D4">
        <w:rPr>
          <w:rFonts w:asciiTheme="minorHAnsi" w:eastAsiaTheme="minorHAnsi" w:hAnsiTheme="minorHAnsi"/>
          <w:color w:val="auto"/>
          <w:sz w:val="20"/>
          <w:szCs w:val="20"/>
          <w:lang w:val="sr-Cyrl-BA" w:eastAsia="en-US"/>
        </w:rPr>
        <w:t>арајево, а њен износ је 1.500.000,00 КМ</w:t>
      </w:r>
      <w:r w:rsidR="00DD2BAA" w:rsidRPr="00D368D4">
        <w:rPr>
          <w:rFonts w:asciiTheme="minorHAnsi" w:eastAsiaTheme="minorHAnsi" w:hAnsiTheme="minorHAnsi"/>
          <w:color w:val="auto"/>
          <w:sz w:val="20"/>
          <w:szCs w:val="20"/>
          <w:lang w:val="sr-Cyrl-BA" w:eastAsia="en-US"/>
        </w:rPr>
        <w:t>, чиме је обезбијеђен кредит у износу од 3.800.000,00 КМ</w:t>
      </w:r>
      <w:r w:rsidRPr="00D368D4">
        <w:rPr>
          <w:rFonts w:asciiTheme="minorHAnsi" w:eastAsiaTheme="minorHAnsi" w:hAnsiTheme="minorHAnsi"/>
          <w:color w:val="auto"/>
          <w:sz w:val="20"/>
          <w:szCs w:val="20"/>
          <w:lang w:val="sr-Cyrl-BA" w:eastAsia="en-US"/>
        </w:rPr>
        <w:t xml:space="preserve">. </w:t>
      </w:r>
    </w:p>
    <w:p w14:paraId="4D0EB6E1" w14:textId="77777777" w:rsidR="001538EF" w:rsidRPr="00D368D4" w:rsidRDefault="001538EF" w:rsidP="00D368D4">
      <w:pPr>
        <w:autoSpaceDE w:val="0"/>
        <w:autoSpaceDN w:val="0"/>
        <w:adjustRightInd w:val="0"/>
        <w:spacing w:line="276" w:lineRule="auto"/>
        <w:rPr>
          <w:rFonts w:asciiTheme="minorHAnsi" w:eastAsiaTheme="minorHAnsi" w:hAnsiTheme="minorHAnsi"/>
          <w:color w:val="FF0000"/>
          <w:sz w:val="20"/>
          <w:szCs w:val="20"/>
          <w:lang w:eastAsia="en-US"/>
        </w:rPr>
      </w:pPr>
    </w:p>
    <w:tbl>
      <w:tblPr>
        <w:tblpPr w:leftFromText="180" w:rightFromText="180" w:vertAnchor="text" w:horzAnchor="margin" w:tblpY="50"/>
        <w:tblOverlap w:val="never"/>
        <w:tblW w:w="8897" w:type="dxa"/>
        <w:tblLayout w:type="fixed"/>
        <w:tblLook w:val="04A0" w:firstRow="1" w:lastRow="0" w:firstColumn="1" w:lastColumn="0" w:noHBand="0" w:noVBand="1"/>
      </w:tblPr>
      <w:tblGrid>
        <w:gridCol w:w="8897"/>
      </w:tblGrid>
      <w:tr w:rsidR="009C7D7A" w:rsidRPr="005767EF" w14:paraId="3F17A3F0" w14:textId="77777777" w:rsidTr="007534DD">
        <w:trPr>
          <w:trHeight w:val="431"/>
        </w:trPr>
        <w:tc>
          <w:tcPr>
            <w:tcW w:w="8897" w:type="dxa"/>
            <w:tcBorders>
              <w:top w:val="nil"/>
              <w:left w:val="nil"/>
              <w:bottom w:val="nil"/>
              <w:right w:val="nil"/>
            </w:tcBorders>
            <w:shd w:val="clear" w:color="000000" w:fill="FFFFFF"/>
            <w:vAlign w:val="center"/>
            <w:hideMark/>
          </w:tcPr>
          <w:p w14:paraId="488AAE4E" w14:textId="77777777" w:rsidR="001538EF" w:rsidRPr="005767EF" w:rsidRDefault="001538EF" w:rsidP="00A84DF8">
            <w:pPr>
              <w:jc w:val="center"/>
              <w:rPr>
                <w:rFonts w:asciiTheme="minorHAnsi" w:hAnsiTheme="minorHAnsi"/>
                <w:color w:val="auto"/>
                <w:sz w:val="20"/>
                <w:szCs w:val="20"/>
              </w:rPr>
            </w:pPr>
            <w:r w:rsidRPr="005767EF">
              <w:rPr>
                <w:rFonts w:asciiTheme="minorHAnsi" w:hAnsiTheme="minorHAnsi"/>
                <w:b/>
                <w:bCs/>
                <w:color w:val="auto"/>
                <w:sz w:val="20"/>
                <w:szCs w:val="20"/>
                <w:lang w:val="sr-Latn-RS" w:eastAsia="sr-Latn-RS"/>
              </w:rPr>
              <w:t xml:space="preserve">Преглед изданих гаранција по дјелатностима  </w:t>
            </w:r>
            <w:r w:rsidR="00D25A1F">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период</w:t>
            </w:r>
            <w:r w:rsidR="00D25A1F">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01.01.202</w:t>
            </w:r>
            <w:r w:rsidR="00E741ED" w:rsidRPr="005767EF">
              <w:rPr>
                <w:rFonts w:asciiTheme="minorHAnsi" w:hAnsiTheme="minorHAnsi"/>
                <w:b/>
                <w:bCs/>
                <w:color w:val="auto"/>
                <w:sz w:val="20"/>
                <w:szCs w:val="20"/>
                <w:lang w:val="sr-Latn-RS" w:eastAsia="sr-Latn-RS"/>
              </w:rPr>
              <w:t>3</w:t>
            </w:r>
            <w:r w:rsidRPr="005767EF">
              <w:rPr>
                <w:rFonts w:asciiTheme="minorHAnsi" w:hAnsiTheme="minorHAnsi"/>
                <w:b/>
                <w:bCs/>
                <w:color w:val="auto"/>
                <w:sz w:val="20"/>
                <w:szCs w:val="20"/>
                <w:lang w:val="sr-Latn-RS" w:eastAsia="sr-Latn-RS"/>
              </w:rPr>
              <w:t>. - 31.12.202</w:t>
            </w:r>
            <w:r w:rsidR="00E741ED" w:rsidRPr="005767EF">
              <w:rPr>
                <w:rFonts w:asciiTheme="minorHAnsi" w:hAnsiTheme="minorHAnsi"/>
                <w:b/>
                <w:bCs/>
                <w:color w:val="auto"/>
                <w:sz w:val="20"/>
                <w:szCs w:val="20"/>
                <w:lang w:val="sr-Latn-RS" w:eastAsia="sr-Latn-RS"/>
              </w:rPr>
              <w:t>3</w:t>
            </w:r>
            <w:r w:rsidRPr="005767EF">
              <w:rPr>
                <w:rFonts w:asciiTheme="minorHAnsi" w:hAnsiTheme="minorHAnsi"/>
                <w:b/>
                <w:bCs/>
                <w:color w:val="auto"/>
                <w:sz w:val="20"/>
                <w:szCs w:val="20"/>
                <w:lang w:val="sr-Latn-RS" w:eastAsia="sr-Latn-RS"/>
              </w:rPr>
              <w:t>. године</w:t>
            </w:r>
          </w:p>
          <w:p w14:paraId="0B4DB4A4" w14:textId="77777777" w:rsidR="001538EF" w:rsidRPr="005767EF" w:rsidRDefault="001538EF" w:rsidP="009C7D7A">
            <w:pPr>
              <w:jc w:val="left"/>
              <w:rPr>
                <w:rFonts w:asciiTheme="minorHAnsi" w:hAnsiTheme="minorHAnsi"/>
                <w:bCs/>
                <w:color w:val="FF0000"/>
                <w:sz w:val="20"/>
                <w:szCs w:val="20"/>
                <w:lang w:val="sr-Cyrl-RS" w:eastAsia="sr-Latn-RS"/>
              </w:rPr>
            </w:pPr>
            <w:r w:rsidRPr="005767EF">
              <w:rPr>
                <w:rFonts w:asciiTheme="minorHAnsi" w:hAnsiTheme="minorHAnsi"/>
                <w:bCs/>
                <w:color w:val="FF0000"/>
                <w:sz w:val="20"/>
                <w:szCs w:val="20"/>
                <w:lang w:val="sr-Cyrl-BA" w:eastAsia="sr-Latn-RS"/>
              </w:rPr>
              <w:t xml:space="preserve"> </w:t>
            </w:r>
          </w:p>
        </w:tc>
      </w:tr>
      <w:tr w:rsidR="001538EF" w:rsidRPr="005767EF" w14:paraId="5203E541" w14:textId="77777777" w:rsidTr="009C7D7A">
        <w:trPr>
          <w:trHeight w:val="441"/>
        </w:trPr>
        <w:tc>
          <w:tcPr>
            <w:tcW w:w="8897" w:type="dxa"/>
            <w:tcBorders>
              <w:top w:val="nil"/>
              <w:left w:val="nil"/>
              <w:bottom w:val="nil"/>
              <w:right w:val="nil"/>
            </w:tcBorders>
            <w:shd w:val="clear" w:color="000000" w:fill="FFFFFF"/>
            <w:vAlign w:val="center"/>
          </w:tcPr>
          <w:p w14:paraId="08F8F60C" w14:textId="77777777" w:rsidR="001538EF" w:rsidRPr="005767EF" w:rsidRDefault="009C7D7A" w:rsidP="00F60818">
            <w:pPr>
              <w:jc w:val="right"/>
              <w:rPr>
                <w:rFonts w:asciiTheme="minorHAnsi" w:hAnsiTheme="minorHAnsi"/>
                <w:b/>
                <w:bCs/>
                <w:sz w:val="20"/>
                <w:szCs w:val="20"/>
                <w:lang w:val="sr-Latn-RS" w:eastAsia="sr-Latn-RS"/>
              </w:rPr>
            </w:pPr>
            <w:r w:rsidRPr="005767EF">
              <w:rPr>
                <w:rFonts w:asciiTheme="minorHAnsi" w:hAnsiTheme="minorHAnsi"/>
                <w:b/>
                <w:bCs/>
                <w:color w:val="auto"/>
                <w:sz w:val="20"/>
                <w:szCs w:val="20"/>
                <w:lang w:val="sr-Latn-RS" w:eastAsia="sr-Latn-RS"/>
              </w:rPr>
              <w:t xml:space="preserve">Табела </w:t>
            </w:r>
            <w:r w:rsidR="00F60818">
              <w:rPr>
                <w:rFonts w:asciiTheme="minorHAnsi" w:hAnsiTheme="minorHAnsi"/>
                <w:b/>
                <w:bCs/>
                <w:color w:val="auto"/>
                <w:sz w:val="20"/>
                <w:szCs w:val="20"/>
                <w:lang w:val="sr-Cyrl-RS" w:eastAsia="sr-Latn-RS"/>
              </w:rPr>
              <w:t>3</w:t>
            </w:r>
          </w:p>
        </w:tc>
      </w:tr>
      <w:tr w:rsidR="001538EF" w:rsidRPr="005767EF" w14:paraId="1B771D1B" w14:textId="77777777" w:rsidTr="009C7D7A">
        <w:trPr>
          <w:trHeight w:val="441"/>
        </w:trPr>
        <w:tc>
          <w:tcPr>
            <w:tcW w:w="8897" w:type="dxa"/>
            <w:tcBorders>
              <w:top w:val="nil"/>
              <w:left w:val="nil"/>
              <w:bottom w:val="nil"/>
              <w:right w:val="nil"/>
            </w:tcBorders>
            <w:shd w:val="clear" w:color="000000" w:fill="FFFFFF"/>
            <w:vAlign w:val="center"/>
          </w:tcPr>
          <w:tbl>
            <w:tblPr>
              <w:tblpPr w:leftFromText="180" w:rightFromText="180" w:vertAnchor="text" w:horzAnchor="margin" w:tblpY="-1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75"/>
              <w:gridCol w:w="1562"/>
              <w:gridCol w:w="1557"/>
            </w:tblGrid>
            <w:tr w:rsidR="001538EF" w:rsidRPr="005767EF" w14:paraId="3EDC3BBB" w14:textId="77777777" w:rsidTr="001A7828">
              <w:trPr>
                <w:trHeight w:val="414"/>
              </w:trPr>
              <w:tc>
                <w:tcPr>
                  <w:tcW w:w="4390" w:type="dxa"/>
                  <w:shd w:val="clear" w:color="auto" w:fill="8DB3E2" w:themeFill="text2" w:themeFillTint="66"/>
                  <w:vAlign w:val="center"/>
                  <w:hideMark/>
                </w:tcPr>
                <w:p w14:paraId="7A7EBF9C" w14:textId="77777777" w:rsidR="001538EF" w:rsidRPr="005767EF" w:rsidRDefault="001538EF" w:rsidP="007534DD">
                  <w:pPr>
                    <w:jc w:val="center"/>
                    <w:rPr>
                      <w:rFonts w:asciiTheme="minorHAnsi" w:hAnsiTheme="minorHAnsi"/>
                      <w:b/>
                      <w:sz w:val="20"/>
                      <w:szCs w:val="20"/>
                      <w:lang w:val="sr-Cyrl-RS"/>
                    </w:rPr>
                  </w:pPr>
                  <w:r w:rsidRPr="005767EF">
                    <w:rPr>
                      <w:rFonts w:asciiTheme="minorHAnsi" w:hAnsiTheme="minorHAnsi"/>
                      <w:b/>
                      <w:sz w:val="20"/>
                      <w:szCs w:val="20"/>
                      <w:lang w:val="sr-Cyrl-BA" w:eastAsia="sr-Latn-RS"/>
                    </w:rPr>
                    <w:t>Дјелатност</w:t>
                  </w:r>
                </w:p>
              </w:tc>
              <w:tc>
                <w:tcPr>
                  <w:tcW w:w="1275" w:type="dxa"/>
                  <w:shd w:val="clear" w:color="auto" w:fill="8DB3E2" w:themeFill="text2" w:themeFillTint="66"/>
                  <w:vAlign w:val="center"/>
                </w:tcPr>
                <w:p w14:paraId="6B89AB12" w14:textId="77777777" w:rsidR="001538EF" w:rsidRPr="005767EF" w:rsidRDefault="001538EF" w:rsidP="007534DD">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Број гаранција</w:t>
                  </w:r>
                </w:p>
              </w:tc>
              <w:tc>
                <w:tcPr>
                  <w:tcW w:w="1562" w:type="dxa"/>
                  <w:shd w:val="clear" w:color="auto" w:fill="8DB3E2" w:themeFill="text2" w:themeFillTint="66"/>
                  <w:vAlign w:val="center"/>
                  <w:hideMark/>
                </w:tcPr>
                <w:p w14:paraId="1B74C4DB" w14:textId="77777777" w:rsidR="001538EF" w:rsidRPr="005767EF" w:rsidRDefault="001538EF" w:rsidP="007534DD">
                  <w:pPr>
                    <w:jc w:val="center"/>
                    <w:rPr>
                      <w:rFonts w:asciiTheme="minorHAnsi" w:hAnsiTheme="minorHAnsi"/>
                      <w:b/>
                      <w:sz w:val="20"/>
                      <w:szCs w:val="20"/>
                      <w:lang w:val="sr-Cyrl-RS"/>
                    </w:rPr>
                  </w:pPr>
                  <w:r w:rsidRPr="005767EF">
                    <w:rPr>
                      <w:rFonts w:asciiTheme="minorHAnsi" w:hAnsiTheme="minorHAnsi"/>
                      <w:b/>
                      <w:sz w:val="20"/>
                      <w:szCs w:val="20"/>
                      <w:lang w:val="sr-Cyrl-BA" w:eastAsia="sr-Latn-RS"/>
                    </w:rPr>
                    <w:t>Износ кредита</w:t>
                  </w:r>
                </w:p>
              </w:tc>
              <w:tc>
                <w:tcPr>
                  <w:tcW w:w="1557" w:type="dxa"/>
                  <w:shd w:val="clear" w:color="auto" w:fill="8DB3E2" w:themeFill="text2" w:themeFillTint="66"/>
                  <w:vAlign w:val="center"/>
                </w:tcPr>
                <w:p w14:paraId="69B0CE03" w14:textId="77777777" w:rsidR="001538EF" w:rsidRPr="005767EF" w:rsidRDefault="001538EF" w:rsidP="007534DD">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Износ гаранције</w:t>
                  </w:r>
                </w:p>
              </w:tc>
            </w:tr>
            <w:tr w:rsidR="001538EF" w:rsidRPr="005767EF" w14:paraId="00CBA0D7" w14:textId="77777777" w:rsidTr="001A7828">
              <w:trPr>
                <w:trHeight w:val="137"/>
              </w:trPr>
              <w:tc>
                <w:tcPr>
                  <w:tcW w:w="4390" w:type="dxa"/>
                  <w:shd w:val="clear" w:color="000000" w:fill="FFFFFF"/>
                  <w:vAlign w:val="bottom"/>
                  <w:hideMark/>
                </w:tcPr>
                <w:p w14:paraId="21EC4B54"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val="sr-Latn-RS" w:eastAsia="sr-Latn-RS"/>
                    </w:rPr>
                    <w:t>Пољопривреда, шумарство и риболов</w:t>
                  </w:r>
                </w:p>
              </w:tc>
              <w:tc>
                <w:tcPr>
                  <w:tcW w:w="1275" w:type="dxa"/>
                  <w:shd w:val="clear" w:color="000000" w:fill="FFFFFF"/>
                </w:tcPr>
                <w:p w14:paraId="0112998E" w14:textId="77777777" w:rsidR="001538EF" w:rsidRPr="005767EF" w:rsidRDefault="00A94CD4" w:rsidP="001538EF">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3</w:t>
                  </w:r>
                </w:p>
              </w:tc>
              <w:tc>
                <w:tcPr>
                  <w:tcW w:w="1562" w:type="dxa"/>
                  <w:shd w:val="clear" w:color="000000" w:fill="FFFFFF"/>
                  <w:hideMark/>
                </w:tcPr>
                <w:p w14:paraId="41998D5D" w14:textId="77777777" w:rsidR="001538EF" w:rsidRPr="005767EF" w:rsidRDefault="007534DD" w:rsidP="00A94CD4">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6.</w:t>
                  </w:r>
                  <w:r w:rsidR="00A94CD4" w:rsidRPr="005767EF">
                    <w:rPr>
                      <w:rFonts w:asciiTheme="minorHAnsi" w:hAnsiTheme="minorHAnsi"/>
                      <w:sz w:val="20"/>
                      <w:szCs w:val="20"/>
                      <w:lang w:val="sr-Cyrl-RS" w:eastAsia="sr-Latn-RS"/>
                    </w:rPr>
                    <w:t>3</w:t>
                  </w:r>
                  <w:r w:rsidR="001538EF" w:rsidRPr="005767EF">
                    <w:rPr>
                      <w:rFonts w:asciiTheme="minorHAnsi" w:hAnsiTheme="minorHAnsi"/>
                      <w:sz w:val="20"/>
                      <w:szCs w:val="20"/>
                      <w:lang w:val="sr-Latn-RS" w:eastAsia="sr-Latn-RS"/>
                    </w:rPr>
                    <w:t>00.000,00</w:t>
                  </w:r>
                </w:p>
              </w:tc>
              <w:tc>
                <w:tcPr>
                  <w:tcW w:w="1557" w:type="dxa"/>
                  <w:shd w:val="clear" w:color="000000" w:fill="FFFFFF"/>
                  <w:hideMark/>
                </w:tcPr>
                <w:p w14:paraId="3AD10C24" w14:textId="77777777" w:rsidR="001538EF" w:rsidRPr="005767EF" w:rsidRDefault="007534DD" w:rsidP="00A94CD4">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2.</w:t>
                  </w:r>
                  <w:r w:rsidR="00A94CD4" w:rsidRPr="005767EF">
                    <w:rPr>
                      <w:rFonts w:asciiTheme="minorHAnsi" w:hAnsiTheme="minorHAnsi"/>
                      <w:sz w:val="20"/>
                      <w:szCs w:val="20"/>
                      <w:lang w:val="sr-Cyrl-RS" w:eastAsia="sr-Latn-RS"/>
                    </w:rPr>
                    <w:t>74</w:t>
                  </w:r>
                  <w:r w:rsidR="001538EF" w:rsidRPr="005767EF">
                    <w:rPr>
                      <w:rFonts w:asciiTheme="minorHAnsi" w:hAnsiTheme="minorHAnsi"/>
                      <w:sz w:val="20"/>
                      <w:szCs w:val="20"/>
                      <w:lang w:val="sr-Latn-RS" w:eastAsia="sr-Latn-RS"/>
                    </w:rPr>
                    <w:t>0.</w:t>
                  </w:r>
                  <w:r w:rsidR="00A94CD4" w:rsidRPr="005767EF">
                    <w:rPr>
                      <w:rFonts w:asciiTheme="minorHAnsi" w:hAnsiTheme="minorHAnsi"/>
                      <w:sz w:val="20"/>
                      <w:szCs w:val="20"/>
                      <w:lang w:val="sr-Cyrl-RS" w:eastAsia="sr-Latn-RS"/>
                    </w:rPr>
                    <w:t>61</w:t>
                  </w:r>
                  <w:r w:rsidR="001538EF" w:rsidRPr="005767EF">
                    <w:rPr>
                      <w:rFonts w:asciiTheme="minorHAnsi" w:hAnsiTheme="minorHAnsi"/>
                      <w:sz w:val="20"/>
                      <w:szCs w:val="20"/>
                      <w:lang w:val="sr-Latn-RS" w:eastAsia="sr-Latn-RS"/>
                    </w:rPr>
                    <w:t>0,00</w:t>
                  </w:r>
                </w:p>
              </w:tc>
            </w:tr>
            <w:tr w:rsidR="001538EF" w:rsidRPr="005767EF" w14:paraId="0D246833" w14:textId="77777777" w:rsidTr="001A7828">
              <w:trPr>
                <w:trHeight w:val="219"/>
              </w:trPr>
              <w:tc>
                <w:tcPr>
                  <w:tcW w:w="4390" w:type="dxa"/>
                  <w:shd w:val="clear" w:color="000000" w:fill="FFFFFF"/>
                  <w:vAlign w:val="center"/>
                  <w:hideMark/>
                </w:tcPr>
                <w:p w14:paraId="1EE610D4"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val="sr-Latn-RS" w:eastAsia="sr-Latn-RS"/>
                    </w:rPr>
                    <w:t>Прерађивачка индустрија</w:t>
                  </w:r>
                </w:p>
              </w:tc>
              <w:tc>
                <w:tcPr>
                  <w:tcW w:w="1275" w:type="dxa"/>
                  <w:shd w:val="clear" w:color="000000" w:fill="FFFFFF"/>
                </w:tcPr>
                <w:p w14:paraId="7B205BBF" w14:textId="77777777" w:rsidR="001538EF" w:rsidRPr="005767EF" w:rsidRDefault="00F75B3A" w:rsidP="001538EF">
                  <w:pPr>
                    <w:jc w:val="center"/>
                    <w:rPr>
                      <w:rFonts w:asciiTheme="minorHAnsi" w:hAnsiTheme="minorHAnsi"/>
                      <w:sz w:val="20"/>
                      <w:szCs w:val="20"/>
                      <w:lang w:val="sr-Cyrl-RS" w:eastAsia="sr-Latn-RS"/>
                    </w:rPr>
                  </w:pPr>
                  <w:r>
                    <w:rPr>
                      <w:rFonts w:asciiTheme="minorHAnsi" w:hAnsiTheme="minorHAnsi"/>
                      <w:sz w:val="20"/>
                      <w:szCs w:val="20"/>
                      <w:lang w:val="sr-Cyrl-RS" w:eastAsia="sr-Latn-RS"/>
                    </w:rPr>
                    <w:t>1</w:t>
                  </w:r>
                </w:p>
              </w:tc>
              <w:tc>
                <w:tcPr>
                  <w:tcW w:w="1562" w:type="dxa"/>
                  <w:shd w:val="clear" w:color="000000" w:fill="FFFFFF"/>
                  <w:hideMark/>
                </w:tcPr>
                <w:p w14:paraId="236CA5B6" w14:textId="77777777" w:rsidR="001538EF" w:rsidRPr="005767EF" w:rsidRDefault="00F75B3A" w:rsidP="00F75B3A">
                  <w:pPr>
                    <w:jc w:val="right"/>
                    <w:rPr>
                      <w:rFonts w:asciiTheme="minorHAnsi" w:hAnsiTheme="minorHAnsi"/>
                      <w:sz w:val="20"/>
                      <w:szCs w:val="20"/>
                      <w:lang w:val="sr-Latn-RS" w:eastAsia="sr-Latn-RS"/>
                    </w:rPr>
                  </w:pPr>
                  <w:r>
                    <w:rPr>
                      <w:rFonts w:asciiTheme="minorHAnsi" w:hAnsiTheme="minorHAnsi"/>
                      <w:sz w:val="20"/>
                      <w:szCs w:val="20"/>
                      <w:lang w:val="sr-Cyrl-RS" w:eastAsia="sr-Latn-RS"/>
                    </w:rPr>
                    <w:t>1</w:t>
                  </w:r>
                  <w:r w:rsidR="007534DD" w:rsidRPr="005767EF">
                    <w:rPr>
                      <w:rFonts w:asciiTheme="minorHAnsi" w:hAnsiTheme="minorHAnsi"/>
                      <w:sz w:val="20"/>
                      <w:szCs w:val="20"/>
                      <w:lang w:val="sr-Cyrl-RS" w:eastAsia="sr-Latn-RS"/>
                    </w:rPr>
                    <w:t>.</w:t>
                  </w:r>
                  <w:r>
                    <w:rPr>
                      <w:rFonts w:asciiTheme="minorHAnsi" w:hAnsiTheme="minorHAnsi"/>
                      <w:sz w:val="20"/>
                      <w:szCs w:val="20"/>
                      <w:lang w:val="sr-Cyrl-RS" w:eastAsia="sr-Latn-RS"/>
                    </w:rPr>
                    <w:t>5</w:t>
                  </w:r>
                  <w:r w:rsidR="007534DD" w:rsidRPr="005767EF">
                    <w:rPr>
                      <w:rFonts w:asciiTheme="minorHAnsi" w:hAnsiTheme="minorHAnsi"/>
                      <w:sz w:val="20"/>
                      <w:szCs w:val="20"/>
                      <w:lang w:val="sr-Cyrl-RS" w:eastAsia="sr-Latn-RS"/>
                    </w:rPr>
                    <w:t>00</w:t>
                  </w:r>
                  <w:r w:rsidR="001538EF" w:rsidRPr="005767EF">
                    <w:rPr>
                      <w:rFonts w:asciiTheme="minorHAnsi" w:hAnsiTheme="minorHAnsi"/>
                      <w:sz w:val="20"/>
                      <w:szCs w:val="20"/>
                      <w:lang w:val="sr-Latn-RS" w:eastAsia="sr-Latn-RS"/>
                    </w:rPr>
                    <w:t>.000,00</w:t>
                  </w:r>
                </w:p>
              </w:tc>
              <w:tc>
                <w:tcPr>
                  <w:tcW w:w="1557" w:type="dxa"/>
                  <w:shd w:val="clear" w:color="000000" w:fill="FFFFFF"/>
                  <w:hideMark/>
                </w:tcPr>
                <w:p w14:paraId="1A1E07F8" w14:textId="77777777" w:rsidR="001538EF" w:rsidRPr="005767EF" w:rsidRDefault="00A94CD4" w:rsidP="00F75B3A">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2</w:t>
                  </w:r>
                  <w:r w:rsidR="00F75B3A">
                    <w:rPr>
                      <w:rFonts w:asciiTheme="minorHAnsi" w:hAnsiTheme="minorHAnsi"/>
                      <w:sz w:val="20"/>
                      <w:szCs w:val="20"/>
                      <w:lang w:val="sr-Cyrl-RS" w:eastAsia="sr-Latn-RS"/>
                    </w:rPr>
                    <w:t>49</w:t>
                  </w:r>
                  <w:r w:rsidR="007534DD" w:rsidRPr="005767EF">
                    <w:rPr>
                      <w:rFonts w:asciiTheme="minorHAnsi" w:hAnsiTheme="minorHAnsi"/>
                      <w:sz w:val="20"/>
                      <w:szCs w:val="20"/>
                      <w:lang w:val="sr-Cyrl-RS" w:eastAsia="sr-Latn-RS"/>
                    </w:rPr>
                    <w:t>.900,00</w:t>
                  </w:r>
                </w:p>
              </w:tc>
            </w:tr>
            <w:tr w:rsidR="001538EF" w:rsidRPr="005767EF" w14:paraId="0018ADA4" w14:textId="77777777" w:rsidTr="001A7828">
              <w:trPr>
                <w:trHeight w:val="219"/>
              </w:trPr>
              <w:tc>
                <w:tcPr>
                  <w:tcW w:w="4390" w:type="dxa"/>
                  <w:shd w:val="clear" w:color="000000" w:fill="FFFFFF"/>
                  <w:vAlign w:val="center"/>
                  <w:hideMark/>
                </w:tcPr>
                <w:p w14:paraId="48BE1B5B"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val="sr-Latn-RS" w:eastAsia="sr-Latn-RS"/>
                    </w:rPr>
                    <w:t>Грађевинарство</w:t>
                  </w:r>
                </w:p>
              </w:tc>
              <w:tc>
                <w:tcPr>
                  <w:tcW w:w="1275" w:type="dxa"/>
                  <w:shd w:val="clear" w:color="000000" w:fill="FFFFFF"/>
                </w:tcPr>
                <w:p w14:paraId="402C600E" w14:textId="77777777" w:rsidR="001538EF" w:rsidRPr="005767EF" w:rsidRDefault="004D0269" w:rsidP="001538EF">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562" w:type="dxa"/>
                  <w:shd w:val="clear" w:color="000000" w:fill="FFFFFF"/>
                  <w:hideMark/>
                </w:tcPr>
                <w:p w14:paraId="016DC571" w14:textId="77777777" w:rsidR="001538EF" w:rsidRPr="005767EF" w:rsidRDefault="007534DD" w:rsidP="001538EF">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2.500</w:t>
                  </w:r>
                  <w:r w:rsidR="001538EF" w:rsidRPr="005767EF">
                    <w:rPr>
                      <w:rFonts w:asciiTheme="minorHAnsi" w:hAnsiTheme="minorHAnsi"/>
                      <w:sz w:val="20"/>
                      <w:szCs w:val="20"/>
                      <w:lang w:val="sr-Latn-RS" w:eastAsia="sr-Latn-RS"/>
                    </w:rPr>
                    <w:t>.000,00</w:t>
                  </w:r>
                </w:p>
              </w:tc>
              <w:tc>
                <w:tcPr>
                  <w:tcW w:w="1557" w:type="dxa"/>
                  <w:shd w:val="clear" w:color="000000" w:fill="FFFFFF"/>
                  <w:hideMark/>
                </w:tcPr>
                <w:p w14:paraId="6B3C370C" w14:textId="77777777" w:rsidR="001538EF" w:rsidRPr="005767EF" w:rsidRDefault="007534DD" w:rsidP="001538EF">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749.750</w:t>
                  </w:r>
                  <w:r w:rsidR="001538EF" w:rsidRPr="005767EF">
                    <w:rPr>
                      <w:rFonts w:asciiTheme="minorHAnsi" w:hAnsiTheme="minorHAnsi"/>
                      <w:sz w:val="20"/>
                      <w:szCs w:val="20"/>
                      <w:lang w:val="sr-Latn-RS" w:eastAsia="sr-Latn-RS"/>
                    </w:rPr>
                    <w:t>,00</w:t>
                  </w:r>
                </w:p>
              </w:tc>
            </w:tr>
            <w:tr w:rsidR="001538EF" w:rsidRPr="005767EF" w14:paraId="69F5B5FB" w14:textId="77777777" w:rsidTr="001A7828">
              <w:trPr>
                <w:trHeight w:val="219"/>
              </w:trPr>
              <w:tc>
                <w:tcPr>
                  <w:tcW w:w="4390" w:type="dxa"/>
                  <w:shd w:val="clear" w:color="000000" w:fill="FFFFFF"/>
                  <w:vAlign w:val="center"/>
                  <w:hideMark/>
                </w:tcPr>
                <w:p w14:paraId="4DCA2958" w14:textId="77777777" w:rsidR="001538EF" w:rsidRPr="005767EF" w:rsidRDefault="004D0269" w:rsidP="001538EF">
                  <w:pPr>
                    <w:jc w:val="left"/>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Снабдијевање водом, канализација, управљање отпадом</w:t>
                  </w:r>
                </w:p>
              </w:tc>
              <w:tc>
                <w:tcPr>
                  <w:tcW w:w="1275" w:type="dxa"/>
                  <w:shd w:val="clear" w:color="000000" w:fill="FFFFFF"/>
                  <w:vAlign w:val="center"/>
                </w:tcPr>
                <w:p w14:paraId="5FA0FAB9" w14:textId="77777777" w:rsidR="001538EF" w:rsidRPr="005767EF" w:rsidRDefault="004D0269" w:rsidP="001538EF">
                  <w:pPr>
                    <w:jc w:val="center"/>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1</w:t>
                  </w:r>
                </w:p>
              </w:tc>
              <w:tc>
                <w:tcPr>
                  <w:tcW w:w="1562" w:type="dxa"/>
                  <w:shd w:val="clear" w:color="000000" w:fill="FFFFFF"/>
                  <w:vAlign w:val="center"/>
                  <w:hideMark/>
                </w:tcPr>
                <w:p w14:paraId="3DBF65F2" w14:textId="77777777" w:rsidR="001538EF" w:rsidRPr="005767EF" w:rsidRDefault="004D0269" w:rsidP="001538E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val="sr-Cyrl-RS" w:eastAsia="sr-Latn-RS"/>
                    </w:rPr>
                    <w:t>350</w:t>
                  </w:r>
                  <w:r w:rsidR="001538EF" w:rsidRPr="005767EF">
                    <w:rPr>
                      <w:rFonts w:asciiTheme="minorHAnsi" w:hAnsiTheme="minorHAnsi"/>
                      <w:color w:val="auto"/>
                      <w:sz w:val="20"/>
                      <w:szCs w:val="20"/>
                      <w:lang w:val="sr-Latn-RS" w:eastAsia="sr-Latn-RS"/>
                    </w:rPr>
                    <w:t>.000,00</w:t>
                  </w:r>
                </w:p>
              </w:tc>
              <w:tc>
                <w:tcPr>
                  <w:tcW w:w="1557" w:type="dxa"/>
                  <w:shd w:val="clear" w:color="000000" w:fill="FFFFFF"/>
                  <w:vAlign w:val="center"/>
                  <w:hideMark/>
                </w:tcPr>
                <w:p w14:paraId="72B6CD7A" w14:textId="77777777" w:rsidR="001538EF" w:rsidRPr="005767EF" w:rsidRDefault="004D0269" w:rsidP="001538E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val="sr-Cyrl-RS" w:eastAsia="sr-Latn-RS"/>
                    </w:rPr>
                    <w:t>175.000</w:t>
                  </w:r>
                  <w:r w:rsidR="001538EF" w:rsidRPr="005767EF">
                    <w:rPr>
                      <w:rFonts w:asciiTheme="minorHAnsi" w:hAnsiTheme="minorHAnsi"/>
                      <w:color w:val="auto"/>
                      <w:sz w:val="20"/>
                      <w:szCs w:val="20"/>
                      <w:lang w:val="sr-Latn-RS" w:eastAsia="sr-Latn-RS"/>
                    </w:rPr>
                    <w:t>,00</w:t>
                  </w:r>
                </w:p>
              </w:tc>
            </w:tr>
            <w:tr w:rsidR="001538EF" w:rsidRPr="005767EF" w14:paraId="782F1DD5" w14:textId="77777777" w:rsidTr="001A7828">
              <w:trPr>
                <w:trHeight w:val="219"/>
              </w:trPr>
              <w:tc>
                <w:tcPr>
                  <w:tcW w:w="4390" w:type="dxa"/>
                  <w:shd w:val="clear" w:color="000000" w:fill="FFFFFF"/>
                  <w:vAlign w:val="center"/>
                  <w:hideMark/>
                </w:tcPr>
                <w:p w14:paraId="12535759" w14:textId="77777777" w:rsidR="001538EF" w:rsidRPr="005767EF" w:rsidRDefault="00A94CD4" w:rsidP="001538EF">
                  <w:pPr>
                    <w:jc w:val="left"/>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Трговина на велико и мало, поправка моторних возила и мотоцикала</w:t>
                  </w:r>
                </w:p>
              </w:tc>
              <w:tc>
                <w:tcPr>
                  <w:tcW w:w="1275" w:type="dxa"/>
                  <w:shd w:val="clear" w:color="000000" w:fill="FFFFFF"/>
                </w:tcPr>
                <w:p w14:paraId="224A99CC" w14:textId="77777777" w:rsidR="001538EF" w:rsidRPr="005767EF" w:rsidRDefault="00A94CD4" w:rsidP="001538EF">
                  <w:pPr>
                    <w:jc w:val="center"/>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1</w:t>
                  </w:r>
                </w:p>
              </w:tc>
              <w:tc>
                <w:tcPr>
                  <w:tcW w:w="1562" w:type="dxa"/>
                  <w:shd w:val="clear" w:color="000000" w:fill="FFFFFF"/>
                  <w:hideMark/>
                </w:tcPr>
                <w:p w14:paraId="22FADDE2" w14:textId="77777777" w:rsidR="001538EF" w:rsidRPr="005767EF" w:rsidRDefault="00A94CD4" w:rsidP="001538EF">
                  <w:pPr>
                    <w:jc w:val="right"/>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110.000,00</w:t>
                  </w:r>
                </w:p>
              </w:tc>
              <w:tc>
                <w:tcPr>
                  <w:tcW w:w="1557" w:type="dxa"/>
                  <w:shd w:val="clear" w:color="000000" w:fill="FFFFFF"/>
                  <w:hideMark/>
                </w:tcPr>
                <w:p w14:paraId="0D1EF87A" w14:textId="77777777" w:rsidR="001538EF" w:rsidRPr="005767EF" w:rsidRDefault="00A94CD4" w:rsidP="001538EF">
                  <w:pPr>
                    <w:jc w:val="right"/>
                    <w:rPr>
                      <w:rFonts w:asciiTheme="minorHAnsi" w:hAnsiTheme="minorHAnsi"/>
                      <w:color w:val="auto"/>
                      <w:sz w:val="20"/>
                      <w:szCs w:val="20"/>
                      <w:lang w:val="sr-Cyrl-RS" w:eastAsia="sr-Latn-RS"/>
                    </w:rPr>
                  </w:pPr>
                  <w:r w:rsidRPr="005767EF">
                    <w:rPr>
                      <w:rFonts w:asciiTheme="minorHAnsi" w:hAnsiTheme="minorHAnsi"/>
                      <w:color w:val="auto"/>
                      <w:sz w:val="20"/>
                      <w:szCs w:val="20"/>
                      <w:lang w:val="sr-Cyrl-RS" w:eastAsia="sr-Latn-RS"/>
                    </w:rPr>
                    <w:t>55.000,00</w:t>
                  </w:r>
                </w:p>
              </w:tc>
            </w:tr>
            <w:tr w:rsidR="001538EF" w:rsidRPr="005767EF" w14:paraId="59AFDE11" w14:textId="77777777" w:rsidTr="001A7828">
              <w:trPr>
                <w:trHeight w:val="219"/>
              </w:trPr>
              <w:tc>
                <w:tcPr>
                  <w:tcW w:w="4390" w:type="dxa"/>
                  <w:shd w:val="clear" w:color="000000" w:fill="FFFFFF"/>
                  <w:vAlign w:val="center"/>
                  <w:hideMark/>
                </w:tcPr>
                <w:p w14:paraId="42987974" w14:textId="77777777" w:rsidR="001538EF" w:rsidRPr="005767EF" w:rsidRDefault="004D0269" w:rsidP="001538EF">
                  <w:pPr>
                    <w:jc w:val="left"/>
                    <w:rPr>
                      <w:rFonts w:asciiTheme="minorHAnsi" w:hAnsiTheme="minorHAnsi"/>
                      <w:sz w:val="20"/>
                      <w:szCs w:val="20"/>
                      <w:lang w:val="sr-Cyrl-RS" w:eastAsia="sr-Latn-RS"/>
                    </w:rPr>
                  </w:pPr>
                  <w:r w:rsidRPr="005767EF">
                    <w:rPr>
                      <w:rFonts w:asciiTheme="minorHAnsi" w:hAnsiTheme="minorHAnsi"/>
                      <w:sz w:val="20"/>
                      <w:szCs w:val="20"/>
                      <w:lang w:val="sr-Cyrl-RS" w:eastAsia="sr-Latn-RS"/>
                    </w:rPr>
                    <w:t xml:space="preserve">Умјетност, забава и рекреација </w:t>
                  </w:r>
                </w:p>
              </w:tc>
              <w:tc>
                <w:tcPr>
                  <w:tcW w:w="1275" w:type="dxa"/>
                  <w:shd w:val="clear" w:color="000000" w:fill="FFFFFF"/>
                </w:tcPr>
                <w:p w14:paraId="6E782164" w14:textId="77777777" w:rsidR="001538EF" w:rsidRPr="00A17121" w:rsidRDefault="001538EF" w:rsidP="001538EF">
                  <w:pPr>
                    <w:jc w:val="center"/>
                    <w:rPr>
                      <w:rFonts w:asciiTheme="minorHAnsi" w:hAnsiTheme="minorHAnsi"/>
                      <w:sz w:val="20"/>
                      <w:szCs w:val="20"/>
                      <w:lang w:val="sr-Cyrl-BA" w:eastAsia="sr-Latn-RS"/>
                    </w:rPr>
                  </w:pPr>
                  <w:r w:rsidRPr="005767EF">
                    <w:rPr>
                      <w:rFonts w:asciiTheme="minorHAnsi" w:hAnsiTheme="minorHAnsi"/>
                      <w:sz w:val="20"/>
                      <w:szCs w:val="20"/>
                      <w:lang w:val="sr-Latn-RS" w:eastAsia="sr-Latn-RS"/>
                    </w:rPr>
                    <w:t>1</w:t>
                  </w:r>
                </w:p>
              </w:tc>
              <w:tc>
                <w:tcPr>
                  <w:tcW w:w="1562" w:type="dxa"/>
                  <w:shd w:val="clear" w:color="000000" w:fill="FFFFFF"/>
                  <w:hideMark/>
                </w:tcPr>
                <w:p w14:paraId="11A5F9C2" w14:textId="77777777" w:rsidR="001538EF" w:rsidRPr="005767EF" w:rsidRDefault="00A94CD4" w:rsidP="001538EF">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15.0</w:t>
                  </w:r>
                  <w:r w:rsidR="001538EF" w:rsidRPr="005767EF">
                    <w:rPr>
                      <w:rFonts w:asciiTheme="minorHAnsi" w:hAnsiTheme="minorHAnsi"/>
                      <w:sz w:val="20"/>
                      <w:szCs w:val="20"/>
                      <w:lang w:val="sr-Latn-RS" w:eastAsia="sr-Latn-RS"/>
                    </w:rPr>
                    <w:t>00.000,00</w:t>
                  </w:r>
                </w:p>
              </w:tc>
              <w:tc>
                <w:tcPr>
                  <w:tcW w:w="1557" w:type="dxa"/>
                  <w:shd w:val="clear" w:color="000000" w:fill="FFFFFF"/>
                  <w:hideMark/>
                </w:tcPr>
                <w:p w14:paraId="276B47D7" w14:textId="77777777" w:rsidR="001538EF" w:rsidRPr="005767EF" w:rsidRDefault="001538EF" w:rsidP="001538EF">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w:t>
                  </w:r>
                  <w:r w:rsidR="00A94CD4" w:rsidRPr="005767EF">
                    <w:rPr>
                      <w:rFonts w:asciiTheme="minorHAnsi" w:hAnsiTheme="minorHAnsi"/>
                      <w:sz w:val="20"/>
                      <w:szCs w:val="20"/>
                      <w:lang w:val="sr-Cyrl-RS" w:eastAsia="sr-Latn-RS"/>
                    </w:rPr>
                    <w:t>.</w:t>
                  </w:r>
                  <w:r w:rsidRPr="005767EF">
                    <w:rPr>
                      <w:rFonts w:asciiTheme="minorHAnsi" w:hAnsiTheme="minorHAnsi"/>
                      <w:sz w:val="20"/>
                      <w:szCs w:val="20"/>
                      <w:lang w:val="sr-Latn-RS" w:eastAsia="sr-Latn-RS"/>
                    </w:rPr>
                    <w:t>5</w:t>
                  </w:r>
                  <w:r w:rsidR="00A94CD4" w:rsidRPr="005767EF">
                    <w:rPr>
                      <w:rFonts w:asciiTheme="minorHAnsi" w:hAnsiTheme="minorHAnsi"/>
                      <w:sz w:val="20"/>
                      <w:szCs w:val="20"/>
                      <w:lang w:val="sr-Cyrl-RS" w:eastAsia="sr-Latn-RS"/>
                    </w:rPr>
                    <w:t>0</w:t>
                  </w:r>
                  <w:r w:rsidRPr="005767EF">
                    <w:rPr>
                      <w:rFonts w:asciiTheme="minorHAnsi" w:hAnsiTheme="minorHAnsi"/>
                      <w:sz w:val="20"/>
                      <w:szCs w:val="20"/>
                      <w:lang w:val="sr-Latn-RS" w:eastAsia="sr-Latn-RS"/>
                    </w:rPr>
                    <w:t>0.000,00</w:t>
                  </w:r>
                </w:p>
              </w:tc>
            </w:tr>
            <w:tr w:rsidR="001538EF" w:rsidRPr="005767EF" w14:paraId="67E724A3" w14:textId="77777777" w:rsidTr="001A7828">
              <w:trPr>
                <w:trHeight w:val="392"/>
              </w:trPr>
              <w:tc>
                <w:tcPr>
                  <w:tcW w:w="4390" w:type="dxa"/>
                  <w:shd w:val="clear" w:color="auto" w:fill="8DB3E2" w:themeFill="text2" w:themeFillTint="66"/>
                  <w:vAlign w:val="center"/>
                  <w:hideMark/>
                </w:tcPr>
                <w:p w14:paraId="4AE71FA5" w14:textId="77777777" w:rsidR="001538EF" w:rsidRPr="005767EF" w:rsidRDefault="007534DD" w:rsidP="00F60818">
                  <w:pPr>
                    <w:jc w:val="center"/>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УКУПНО</w:t>
                  </w:r>
                </w:p>
              </w:tc>
              <w:tc>
                <w:tcPr>
                  <w:tcW w:w="1275" w:type="dxa"/>
                  <w:shd w:val="clear" w:color="auto" w:fill="8DB3E2" w:themeFill="text2" w:themeFillTint="66"/>
                  <w:vAlign w:val="center"/>
                  <w:hideMark/>
                </w:tcPr>
                <w:p w14:paraId="1FB5E53E" w14:textId="77777777" w:rsidR="001538EF" w:rsidRPr="005767EF" w:rsidRDefault="00F75B3A" w:rsidP="00F60818">
                  <w:pPr>
                    <w:jc w:val="center"/>
                    <w:rPr>
                      <w:rFonts w:asciiTheme="minorHAnsi" w:hAnsiTheme="minorHAnsi"/>
                      <w:b/>
                      <w:sz w:val="20"/>
                      <w:szCs w:val="20"/>
                      <w:lang w:val="sr-Cyrl-RS" w:eastAsia="sr-Latn-RS"/>
                    </w:rPr>
                  </w:pPr>
                  <w:r>
                    <w:rPr>
                      <w:rFonts w:asciiTheme="minorHAnsi" w:hAnsiTheme="minorHAnsi"/>
                      <w:b/>
                      <w:sz w:val="20"/>
                      <w:szCs w:val="20"/>
                      <w:lang w:val="sr-Cyrl-RS" w:eastAsia="sr-Latn-RS"/>
                    </w:rPr>
                    <w:t>8</w:t>
                  </w:r>
                </w:p>
              </w:tc>
              <w:tc>
                <w:tcPr>
                  <w:tcW w:w="1562" w:type="dxa"/>
                  <w:shd w:val="clear" w:color="auto" w:fill="8DB3E2" w:themeFill="text2" w:themeFillTint="66"/>
                  <w:vAlign w:val="center"/>
                  <w:hideMark/>
                </w:tcPr>
                <w:p w14:paraId="20284F5F" w14:textId="77777777" w:rsidR="001538EF" w:rsidRPr="005767EF" w:rsidRDefault="00A94CD4" w:rsidP="00F75B3A">
                  <w:pPr>
                    <w:ind w:right="-106"/>
                    <w:jc w:val="right"/>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2</w:t>
                  </w:r>
                  <w:r w:rsidR="00F75B3A">
                    <w:rPr>
                      <w:rFonts w:asciiTheme="minorHAnsi" w:hAnsiTheme="minorHAnsi"/>
                      <w:b/>
                      <w:sz w:val="20"/>
                      <w:szCs w:val="20"/>
                      <w:lang w:val="sr-Cyrl-RS" w:eastAsia="sr-Latn-RS"/>
                    </w:rPr>
                    <w:t>5.7</w:t>
                  </w:r>
                  <w:r w:rsidRPr="005767EF">
                    <w:rPr>
                      <w:rFonts w:asciiTheme="minorHAnsi" w:hAnsiTheme="minorHAnsi"/>
                      <w:b/>
                      <w:sz w:val="20"/>
                      <w:szCs w:val="20"/>
                      <w:lang w:val="sr-Cyrl-RS" w:eastAsia="sr-Latn-RS"/>
                    </w:rPr>
                    <w:t>60.000,00</w:t>
                  </w:r>
                </w:p>
              </w:tc>
              <w:tc>
                <w:tcPr>
                  <w:tcW w:w="1557" w:type="dxa"/>
                  <w:shd w:val="clear" w:color="auto" w:fill="8DB3E2" w:themeFill="text2" w:themeFillTint="66"/>
                  <w:vAlign w:val="center"/>
                  <w:hideMark/>
                </w:tcPr>
                <w:p w14:paraId="4579ACCE" w14:textId="77777777" w:rsidR="001538EF" w:rsidRPr="005767EF" w:rsidRDefault="00F75B3A" w:rsidP="00F60818">
                  <w:pPr>
                    <w:jc w:val="right"/>
                    <w:rPr>
                      <w:rFonts w:asciiTheme="minorHAnsi" w:hAnsiTheme="minorHAnsi"/>
                      <w:b/>
                      <w:sz w:val="20"/>
                      <w:szCs w:val="20"/>
                      <w:lang w:val="sr-Cyrl-RS" w:eastAsia="sr-Latn-RS"/>
                    </w:rPr>
                  </w:pPr>
                  <w:r>
                    <w:rPr>
                      <w:rFonts w:asciiTheme="minorHAnsi" w:hAnsiTheme="minorHAnsi"/>
                      <w:b/>
                      <w:sz w:val="20"/>
                      <w:szCs w:val="20"/>
                      <w:lang w:val="sr-Cyrl-RS" w:eastAsia="sr-Latn-RS"/>
                    </w:rPr>
                    <w:t>5.470.</w:t>
                  </w:r>
                  <w:r w:rsidR="00A94CD4" w:rsidRPr="005767EF">
                    <w:rPr>
                      <w:rFonts w:asciiTheme="minorHAnsi" w:hAnsiTheme="minorHAnsi"/>
                      <w:b/>
                      <w:sz w:val="20"/>
                      <w:szCs w:val="20"/>
                      <w:lang w:val="sr-Cyrl-RS" w:eastAsia="sr-Latn-RS"/>
                    </w:rPr>
                    <w:t>260,00</w:t>
                  </w:r>
                </w:p>
              </w:tc>
            </w:tr>
          </w:tbl>
          <w:p w14:paraId="29757E32" w14:textId="77777777" w:rsidR="001538EF" w:rsidRPr="005767EF" w:rsidRDefault="001538EF" w:rsidP="001538EF">
            <w:pPr>
              <w:jc w:val="left"/>
              <w:rPr>
                <w:rFonts w:asciiTheme="minorHAnsi" w:hAnsiTheme="minorHAnsi"/>
                <w:b/>
                <w:bCs/>
                <w:sz w:val="20"/>
                <w:szCs w:val="20"/>
                <w:lang w:val="sr-Latn-BA" w:eastAsia="sr-Latn-RS"/>
              </w:rPr>
            </w:pPr>
          </w:p>
        </w:tc>
      </w:tr>
    </w:tbl>
    <w:p w14:paraId="43A45F96" w14:textId="77777777" w:rsidR="001538EF" w:rsidRPr="005767EF" w:rsidRDefault="001538EF" w:rsidP="001538EF">
      <w:pPr>
        <w:autoSpaceDE w:val="0"/>
        <w:autoSpaceDN w:val="0"/>
        <w:adjustRightInd w:val="0"/>
        <w:jc w:val="center"/>
        <w:rPr>
          <w:rFonts w:asciiTheme="minorHAnsi" w:hAnsiTheme="minorHAnsi"/>
          <w:b/>
          <w:bCs/>
          <w:sz w:val="20"/>
          <w:szCs w:val="20"/>
          <w:lang w:val="sr-Latn-RS" w:eastAsia="sr-Latn-RS"/>
        </w:rPr>
      </w:pPr>
    </w:p>
    <w:p w14:paraId="13F3E1F9" w14:textId="77777777" w:rsidR="00010815" w:rsidRDefault="00A84DF8" w:rsidP="001538EF">
      <w:pPr>
        <w:autoSpaceDE w:val="0"/>
        <w:autoSpaceDN w:val="0"/>
        <w:adjustRightInd w:val="0"/>
        <w:rPr>
          <w:rFonts w:asciiTheme="minorHAnsi" w:hAnsiTheme="minorHAnsi"/>
          <w:bCs/>
          <w:sz w:val="20"/>
          <w:szCs w:val="20"/>
          <w:lang w:val="sr-Cyrl-BA" w:eastAsia="sr-Latn-RS"/>
        </w:rPr>
      </w:pPr>
      <w:r>
        <w:rPr>
          <w:rFonts w:asciiTheme="minorHAnsi" w:hAnsiTheme="minorHAnsi"/>
          <w:bCs/>
          <w:sz w:val="20"/>
          <w:szCs w:val="20"/>
          <w:lang w:val="sr-Cyrl-BA" w:eastAsia="sr-Latn-RS"/>
        </w:rPr>
        <w:t xml:space="preserve">У структури издавања гаранција по дјелатностима се издваја дјелатност пољопривреда, шумарство и риболов </w:t>
      </w:r>
      <w:r w:rsidR="00C83136">
        <w:rPr>
          <w:rFonts w:asciiTheme="minorHAnsi" w:hAnsiTheme="minorHAnsi"/>
          <w:bCs/>
          <w:sz w:val="20"/>
          <w:szCs w:val="20"/>
          <w:lang w:val="sr-Cyrl-RS" w:eastAsia="sr-Latn-RS"/>
        </w:rPr>
        <w:t>за коју</w:t>
      </w:r>
      <w:r>
        <w:rPr>
          <w:rFonts w:asciiTheme="minorHAnsi" w:hAnsiTheme="minorHAnsi"/>
          <w:bCs/>
          <w:sz w:val="20"/>
          <w:szCs w:val="20"/>
          <w:lang w:val="sr-Cyrl-BA" w:eastAsia="sr-Latn-RS"/>
        </w:rPr>
        <w:t xml:space="preserve"> су током 2023. године издан</w:t>
      </w:r>
      <w:r w:rsidR="00334919">
        <w:rPr>
          <w:rFonts w:asciiTheme="minorHAnsi" w:hAnsiTheme="minorHAnsi"/>
          <w:bCs/>
          <w:sz w:val="20"/>
          <w:szCs w:val="20"/>
          <w:lang w:val="sr-Cyrl-BA" w:eastAsia="sr-Latn-RS"/>
        </w:rPr>
        <w:t>е</w:t>
      </w:r>
      <w:r>
        <w:rPr>
          <w:rFonts w:asciiTheme="minorHAnsi" w:hAnsiTheme="minorHAnsi"/>
          <w:bCs/>
          <w:sz w:val="20"/>
          <w:szCs w:val="20"/>
          <w:lang w:val="sr-Cyrl-BA" w:eastAsia="sr-Latn-RS"/>
        </w:rPr>
        <w:t xml:space="preserve"> 3 гаранције</w:t>
      </w:r>
      <w:r w:rsidR="00334919">
        <w:rPr>
          <w:rFonts w:asciiTheme="minorHAnsi" w:hAnsiTheme="minorHAnsi"/>
          <w:bCs/>
          <w:sz w:val="20"/>
          <w:szCs w:val="20"/>
          <w:lang w:val="sr-Cyrl-BA" w:eastAsia="sr-Latn-RS"/>
        </w:rPr>
        <w:t xml:space="preserve"> у износу од 2.740.640,00 КМ</w:t>
      </w:r>
      <w:r w:rsidR="00C83136">
        <w:rPr>
          <w:rFonts w:asciiTheme="minorHAnsi" w:hAnsiTheme="minorHAnsi"/>
          <w:bCs/>
          <w:sz w:val="20"/>
          <w:szCs w:val="20"/>
          <w:lang w:val="sr-Cyrl-BA" w:eastAsia="sr-Latn-RS"/>
        </w:rPr>
        <w:t>. У осталим</w:t>
      </w:r>
      <w:r>
        <w:rPr>
          <w:rFonts w:asciiTheme="minorHAnsi" w:hAnsiTheme="minorHAnsi"/>
          <w:bCs/>
          <w:sz w:val="20"/>
          <w:szCs w:val="20"/>
          <w:lang w:val="sr-Cyrl-BA" w:eastAsia="sr-Latn-RS"/>
        </w:rPr>
        <w:t xml:space="preserve"> дјелатности</w:t>
      </w:r>
      <w:r w:rsidR="00C83136">
        <w:rPr>
          <w:rFonts w:asciiTheme="minorHAnsi" w:hAnsiTheme="minorHAnsi"/>
          <w:bCs/>
          <w:sz w:val="20"/>
          <w:szCs w:val="20"/>
          <w:lang w:val="sr-Cyrl-BA" w:eastAsia="sr-Latn-RS"/>
        </w:rPr>
        <w:t>ма побројаним</w:t>
      </w:r>
      <w:r>
        <w:rPr>
          <w:rFonts w:asciiTheme="minorHAnsi" w:hAnsiTheme="minorHAnsi"/>
          <w:bCs/>
          <w:sz w:val="20"/>
          <w:szCs w:val="20"/>
          <w:lang w:val="sr-Cyrl-BA" w:eastAsia="sr-Latn-RS"/>
        </w:rPr>
        <w:t xml:space="preserve"> у табели 3 је издана по једна гаранција. </w:t>
      </w:r>
    </w:p>
    <w:p w14:paraId="0E30D731"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02BC1C17"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058E550F"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4061C47E"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01BBEE69"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21B5D1C4"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573D18B5"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5DE9B3B0"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699F6244" w14:textId="77777777" w:rsidR="00D368D4" w:rsidRPr="005767EF" w:rsidRDefault="00D368D4" w:rsidP="001538EF">
      <w:pPr>
        <w:autoSpaceDE w:val="0"/>
        <w:autoSpaceDN w:val="0"/>
        <w:adjustRightInd w:val="0"/>
        <w:rPr>
          <w:rFonts w:asciiTheme="minorHAnsi" w:hAnsiTheme="minorHAnsi"/>
          <w:bCs/>
          <w:sz w:val="20"/>
          <w:szCs w:val="20"/>
          <w:lang w:val="sr-Cyrl-BA" w:eastAsia="sr-Latn-RS"/>
        </w:rPr>
      </w:pPr>
    </w:p>
    <w:p w14:paraId="2289CA29" w14:textId="77777777" w:rsidR="00010815" w:rsidRPr="005767EF" w:rsidRDefault="00010815" w:rsidP="003D2212">
      <w:pPr>
        <w:autoSpaceDE w:val="0"/>
        <w:autoSpaceDN w:val="0"/>
        <w:adjustRightInd w:val="0"/>
        <w:jc w:val="center"/>
        <w:rPr>
          <w:rFonts w:asciiTheme="minorHAnsi" w:hAnsiTheme="minorHAnsi"/>
          <w:b/>
          <w:bCs/>
          <w:color w:val="auto"/>
          <w:sz w:val="20"/>
          <w:szCs w:val="20"/>
          <w:lang w:val="sr-Cyrl-RS" w:eastAsia="sr-Latn-RS"/>
        </w:rPr>
      </w:pPr>
      <w:r w:rsidRPr="005767EF">
        <w:rPr>
          <w:rFonts w:asciiTheme="minorHAnsi" w:hAnsiTheme="minorHAnsi"/>
          <w:b/>
          <w:bCs/>
          <w:color w:val="auto"/>
          <w:sz w:val="20"/>
          <w:szCs w:val="20"/>
          <w:lang w:val="sr-Latn-RS" w:eastAsia="sr-Latn-RS"/>
        </w:rPr>
        <w:t xml:space="preserve">Преглед изданих гаранција по </w:t>
      </w:r>
      <w:r w:rsidRPr="005767EF">
        <w:rPr>
          <w:rFonts w:asciiTheme="minorHAnsi" w:hAnsiTheme="minorHAnsi"/>
          <w:b/>
          <w:bCs/>
          <w:color w:val="auto"/>
          <w:sz w:val="20"/>
          <w:szCs w:val="20"/>
          <w:lang w:val="sr-Cyrl-BA" w:eastAsia="sr-Latn-RS"/>
        </w:rPr>
        <w:t xml:space="preserve">градовима и општинама </w:t>
      </w:r>
      <w:r w:rsidR="005D5536">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период</w:t>
      </w:r>
      <w:r w:rsidR="005D5536">
        <w:rPr>
          <w:rFonts w:asciiTheme="minorHAnsi" w:hAnsiTheme="minorHAnsi"/>
          <w:b/>
          <w:bCs/>
          <w:color w:val="auto"/>
          <w:sz w:val="20"/>
          <w:szCs w:val="20"/>
          <w:lang w:val="sr-Cyrl-RS" w:eastAsia="sr-Latn-RS"/>
        </w:rPr>
        <w:t>у</w:t>
      </w:r>
      <w:r w:rsidRPr="005767EF">
        <w:rPr>
          <w:rFonts w:asciiTheme="minorHAnsi" w:hAnsiTheme="minorHAnsi"/>
          <w:b/>
          <w:bCs/>
          <w:color w:val="auto"/>
          <w:sz w:val="20"/>
          <w:szCs w:val="20"/>
          <w:lang w:val="sr-Latn-RS" w:eastAsia="sr-Latn-RS"/>
        </w:rPr>
        <w:t xml:space="preserve"> 01.01.202</w:t>
      </w:r>
      <w:r w:rsidR="003D2212" w:rsidRPr="005767EF">
        <w:rPr>
          <w:rFonts w:asciiTheme="minorHAnsi" w:hAnsiTheme="minorHAnsi"/>
          <w:b/>
          <w:bCs/>
          <w:color w:val="auto"/>
          <w:sz w:val="20"/>
          <w:szCs w:val="20"/>
          <w:lang w:val="sr-Cyrl-RS" w:eastAsia="sr-Latn-RS"/>
        </w:rPr>
        <w:t>3</w:t>
      </w:r>
      <w:r w:rsidRPr="005767EF">
        <w:rPr>
          <w:rFonts w:asciiTheme="minorHAnsi" w:hAnsiTheme="minorHAnsi"/>
          <w:b/>
          <w:bCs/>
          <w:color w:val="auto"/>
          <w:sz w:val="20"/>
          <w:szCs w:val="20"/>
          <w:lang w:val="sr-Latn-RS" w:eastAsia="sr-Latn-RS"/>
        </w:rPr>
        <w:t>. - 31.12.202</w:t>
      </w:r>
      <w:r w:rsidR="003D2212" w:rsidRPr="005767EF">
        <w:rPr>
          <w:rFonts w:asciiTheme="minorHAnsi" w:hAnsiTheme="minorHAnsi"/>
          <w:b/>
          <w:bCs/>
          <w:color w:val="auto"/>
          <w:sz w:val="20"/>
          <w:szCs w:val="20"/>
          <w:lang w:val="sr-Cyrl-RS" w:eastAsia="sr-Latn-RS"/>
        </w:rPr>
        <w:t>3</w:t>
      </w:r>
      <w:r w:rsidRPr="005767EF">
        <w:rPr>
          <w:rFonts w:asciiTheme="minorHAnsi" w:hAnsiTheme="minorHAnsi"/>
          <w:b/>
          <w:bCs/>
          <w:color w:val="auto"/>
          <w:sz w:val="20"/>
          <w:szCs w:val="20"/>
          <w:lang w:val="sr-Latn-RS" w:eastAsia="sr-Latn-RS"/>
        </w:rPr>
        <w:t>. године</w:t>
      </w:r>
    </w:p>
    <w:p w14:paraId="1B1D3940" w14:textId="77777777" w:rsidR="00010815" w:rsidRPr="005767EF" w:rsidRDefault="00010815" w:rsidP="00010815">
      <w:pPr>
        <w:autoSpaceDE w:val="0"/>
        <w:autoSpaceDN w:val="0"/>
        <w:adjustRightInd w:val="0"/>
        <w:jc w:val="center"/>
        <w:rPr>
          <w:rFonts w:asciiTheme="minorHAnsi" w:eastAsiaTheme="minorHAnsi" w:hAnsiTheme="minorHAnsi"/>
          <w:color w:val="auto"/>
          <w:sz w:val="20"/>
          <w:szCs w:val="20"/>
          <w:lang w:eastAsia="en-US"/>
        </w:rPr>
      </w:pPr>
    </w:p>
    <w:p w14:paraId="4B2A0220" w14:textId="77777777" w:rsidR="00010815" w:rsidRPr="005767EF" w:rsidRDefault="00010815" w:rsidP="003D2212">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                                                                                                                                </w:t>
      </w:r>
      <w:r w:rsidR="00F75B3A">
        <w:rPr>
          <w:rFonts w:asciiTheme="minorHAnsi" w:eastAsiaTheme="minorHAnsi" w:hAnsiTheme="minorHAnsi"/>
          <w:color w:val="auto"/>
          <w:sz w:val="20"/>
          <w:szCs w:val="20"/>
          <w:lang w:val="sr-Cyrl-BA" w:eastAsia="en-US"/>
        </w:rPr>
        <w:t xml:space="preserve">                                          </w:t>
      </w:r>
      <w:r w:rsidRPr="005767EF">
        <w:rPr>
          <w:rFonts w:asciiTheme="minorHAnsi" w:eastAsiaTheme="minorHAnsi" w:hAnsiTheme="minorHAnsi"/>
          <w:color w:val="auto"/>
          <w:sz w:val="20"/>
          <w:szCs w:val="20"/>
          <w:lang w:val="sr-Cyrl-BA" w:eastAsia="en-US"/>
        </w:rPr>
        <w:t xml:space="preserve">    </w:t>
      </w:r>
      <w:r w:rsidR="003D2212" w:rsidRPr="005767EF">
        <w:rPr>
          <w:rFonts w:asciiTheme="minorHAnsi" w:eastAsiaTheme="minorHAnsi" w:hAnsiTheme="minorHAnsi"/>
          <w:b/>
          <w:color w:val="auto"/>
          <w:sz w:val="20"/>
          <w:szCs w:val="20"/>
          <w:lang w:val="sr-Cyrl-BA" w:eastAsia="en-US"/>
        </w:rPr>
        <w:t xml:space="preserve">Табела </w:t>
      </w:r>
      <w:r w:rsidR="00F75B3A">
        <w:rPr>
          <w:rFonts w:asciiTheme="minorHAnsi" w:eastAsiaTheme="minorHAnsi" w:hAnsiTheme="minorHAnsi"/>
          <w:b/>
          <w:color w:val="auto"/>
          <w:sz w:val="20"/>
          <w:szCs w:val="20"/>
          <w:lang w:val="sr-Cyrl-BA" w:eastAsia="en-US"/>
        </w:rPr>
        <w:t>4</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1075"/>
        <w:gridCol w:w="1381"/>
        <w:gridCol w:w="1408"/>
      </w:tblGrid>
      <w:tr w:rsidR="00010815" w:rsidRPr="005767EF" w14:paraId="623EA934" w14:textId="77777777" w:rsidTr="00F75B3A">
        <w:trPr>
          <w:trHeight w:val="606"/>
        </w:trPr>
        <w:tc>
          <w:tcPr>
            <w:tcW w:w="4925" w:type="dxa"/>
            <w:shd w:val="clear" w:color="auto" w:fill="8DB3E2" w:themeFill="text2" w:themeFillTint="66"/>
            <w:vAlign w:val="center"/>
            <w:hideMark/>
          </w:tcPr>
          <w:p w14:paraId="25A0501B" w14:textId="77777777" w:rsidR="00010815" w:rsidRPr="005767EF" w:rsidRDefault="00000520" w:rsidP="00E46092">
            <w:pPr>
              <w:jc w:val="center"/>
              <w:rPr>
                <w:rFonts w:asciiTheme="minorHAnsi" w:hAnsiTheme="minorHAnsi"/>
                <w:b/>
                <w:sz w:val="20"/>
                <w:szCs w:val="20"/>
                <w:lang w:val="sr-Latn-RS" w:eastAsia="sr-Latn-RS"/>
              </w:rPr>
            </w:pPr>
            <w:r>
              <w:rPr>
                <w:rFonts w:asciiTheme="minorHAnsi" w:hAnsiTheme="minorHAnsi"/>
                <w:b/>
                <w:sz w:val="20"/>
                <w:szCs w:val="20"/>
                <w:lang w:val="sr-Cyrl-BA" w:eastAsia="sr-Latn-RS"/>
              </w:rPr>
              <w:t>Град/</w:t>
            </w:r>
            <w:r w:rsidR="00010815" w:rsidRPr="005767EF">
              <w:rPr>
                <w:rFonts w:asciiTheme="minorHAnsi" w:hAnsiTheme="minorHAnsi"/>
                <w:b/>
                <w:sz w:val="20"/>
                <w:szCs w:val="20"/>
                <w:lang w:val="sr-Cyrl-BA" w:eastAsia="sr-Latn-RS"/>
              </w:rPr>
              <w:t>општина</w:t>
            </w:r>
            <w:r w:rsidR="00010815" w:rsidRPr="005767EF">
              <w:rPr>
                <w:rFonts w:asciiTheme="minorHAnsi" w:hAnsiTheme="minorHAnsi"/>
                <w:b/>
                <w:sz w:val="20"/>
                <w:szCs w:val="20"/>
                <w:lang w:val="sr-Latn-RS" w:eastAsia="sr-Latn-RS"/>
              </w:rPr>
              <w:t> </w:t>
            </w:r>
          </w:p>
        </w:tc>
        <w:tc>
          <w:tcPr>
            <w:tcW w:w="1075" w:type="dxa"/>
            <w:shd w:val="clear" w:color="auto" w:fill="8DB3E2" w:themeFill="text2" w:themeFillTint="66"/>
            <w:vAlign w:val="center"/>
          </w:tcPr>
          <w:p w14:paraId="122DE46B" w14:textId="77777777" w:rsidR="00010815" w:rsidRPr="005767EF" w:rsidRDefault="00010815" w:rsidP="00E46092">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Број гаранција</w:t>
            </w:r>
          </w:p>
        </w:tc>
        <w:tc>
          <w:tcPr>
            <w:tcW w:w="1381" w:type="dxa"/>
            <w:shd w:val="clear" w:color="auto" w:fill="8DB3E2" w:themeFill="text2" w:themeFillTint="66"/>
            <w:vAlign w:val="center"/>
          </w:tcPr>
          <w:p w14:paraId="05A090BA" w14:textId="77777777" w:rsidR="00010815" w:rsidRPr="005767EF" w:rsidRDefault="00010815" w:rsidP="00E46092">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Износ кредита</w:t>
            </w:r>
          </w:p>
        </w:tc>
        <w:tc>
          <w:tcPr>
            <w:tcW w:w="1408" w:type="dxa"/>
            <w:shd w:val="clear" w:color="auto" w:fill="8DB3E2" w:themeFill="text2" w:themeFillTint="66"/>
            <w:vAlign w:val="center"/>
            <w:hideMark/>
          </w:tcPr>
          <w:p w14:paraId="7BDCD75B" w14:textId="77777777" w:rsidR="00010815" w:rsidRPr="005767EF" w:rsidRDefault="00010815" w:rsidP="00E46092">
            <w:pPr>
              <w:jc w:val="center"/>
              <w:rPr>
                <w:rFonts w:asciiTheme="minorHAnsi" w:hAnsiTheme="minorHAnsi"/>
                <w:b/>
                <w:sz w:val="20"/>
                <w:szCs w:val="20"/>
                <w:lang w:val="sr-Latn-RS" w:eastAsia="sr-Latn-RS"/>
              </w:rPr>
            </w:pPr>
            <w:r w:rsidRPr="005767EF">
              <w:rPr>
                <w:rFonts w:asciiTheme="minorHAnsi" w:hAnsiTheme="minorHAnsi"/>
                <w:b/>
                <w:sz w:val="20"/>
                <w:szCs w:val="20"/>
                <w:lang w:val="sr-Cyrl-BA" w:eastAsia="sr-Latn-RS"/>
              </w:rPr>
              <w:t>Износ гаранције</w:t>
            </w:r>
          </w:p>
        </w:tc>
      </w:tr>
      <w:tr w:rsidR="00010815" w:rsidRPr="005767EF" w14:paraId="4EB7A223" w14:textId="77777777" w:rsidTr="00F75B3A">
        <w:trPr>
          <w:trHeight w:val="219"/>
        </w:trPr>
        <w:tc>
          <w:tcPr>
            <w:tcW w:w="4925" w:type="dxa"/>
            <w:shd w:val="clear" w:color="000000" w:fill="FFFFFF"/>
            <w:hideMark/>
          </w:tcPr>
          <w:p w14:paraId="18EE2681" w14:textId="77777777" w:rsidR="00010815" w:rsidRPr="005767EF" w:rsidRDefault="00010815" w:rsidP="00E46092">
            <w:pPr>
              <w:rPr>
                <w:rFonts w:asciiTheme="minorHAnsi" w:hAnsiTheme="minorHAnsi"/>
                <w:sz w:val="20"/>
                <w:szCs w:val="20"/>
                <w:lang w:val="sr-Latn-RS" w:eastAsia="sr-Latn-RS"/>
              </w:rPr>
            </w:pPr>
            <w:r w:rsidRPr="005767EF">
              <w:rPr>
                <w:rFonts w:asciiTheme="minorHAnsi" w:hAnsiTheme="minorHAnsi"/>
                <w:sz w:val="20"/>
                <w:szCs w:val="20"/>
                <w:lang w:val="sr-Latn-RS" w:eastAsia="sr-Latn-RS"/>
              </w:rPr>
              <w:t xml:space="preserve">Бања Лука  </w:t>
            </w:r>
          </w:p>
        </w:tc>
        <w:tc>
          <w:tcPr>
            <w:tcW w:w="1075" w:type="dxa"/>
            <w:shd w:val="clear" w:color="000000" w:fill="FFFFFF"/>
            <w:hideMark/>
          </w:tcPr>
          <w:p w14:paraId="0347EAF3"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hideMark/>
          </w:tcPr>
          <w:p w14:paraId="790D15B6"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110.000,00</w:t>
            </w:r>
          </w:p>
        </w:tc>
        <w:tc>
          <w:tcPr>
            <w:tcW w:w="1408" w:type="dxa"/>
            <w:shd w:val="clear" w:color="000000" w:fill="FFFFFF"/>
            <w:hideMark/>
          </w:tcPr>
          <w:p w14:paraId="0606D21F"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55.000,00</w:t>
            </w:r>
          </w:p>
        </w:tc>
      </w:tr>
      <w:tr w:rsidR="00010815" w:rsidRPr="005767EF" w14:paraId="5D6ABC9D" w14:textId="77777777" w:rsidTr="00F75B3A">
        <w:trPr>
          <w:trHeight w:val="219"/>
        </w:trPr>
        <w:tc>
          <w:tcPr>
            <w:tcW w:w="4925" w:type="dxa"/>
            <w:shd w:val="clear" w:color="000000" w:fill="FFFFFF"/>
            <w:hideMark/>
          </w:tcPr>
          <w:p w14:paraId="75D3FF5D" w14:textId="77777777" w:rsidR="00010815" w:rsidRPr="005767EF" w:rsidRDefault="00010815" w:rsidP="00E46092">
            <w:pPr>
              <w:rPr>
                <w:rFonts w:asciiTheme="minorHAnsi" w:hAnsiTheme="minorHAnsi"/>
                <w:sz w:val="20"/>
                <w:szCs w:val="20"/>
                <w:lang w:val="sr-Latn-RS" w:eastAsia="sr-Latn-RS"/>
              </w:rPr>
            </w:pPr>
            <w:r w:rsidRPr="005767EF">
              <w:rPr>
                <w:rFonts w:asciiTheme="minorHAnsi" w:hAnsiTheme="minorHAnsi"/>
                <w:sz w:val="20"/>
                <w:szCs w:val="20"/>
                <w:lang w:val="sr-Latn-RS" w:eastAsia="sr-Latn-RS"/>
              </w:rPr>
              <w:t xml:space="preserve">Козарска Дубица  </w:t>
            </w:r>
          </w:p>
        </w:tc>
        <w:tc>
          <w:tcPr>
            <w:tcW w:w="1075" w:type="dxa"/>
            <w:shd w:val="clear" w:color="000000" w:fill="FFFFFF"/>
            <w:hideMark/>
          </w:tcPr>
          <w:p w14:paraId="60F88D24" w14:textId="77777777" w:rsidR="00010815" w:rsidRPr="005767EF" w:rsidRDefault="00010815" w:rsidP="003D2212">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w:t>
            </w:r>
          </w:p>
        </w:tc>
        <w:tc>
          <w:tcPr>
            <w:tcW w:w="1381" w:type="dxa"/>
            <w:shd w:val="clear" w:color="000000" w:fill="FFFFFF"/>
            <w:hideMark/>
          </w:tcPr>
          <w:p w14:paraId="3A4B8FBF"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3</w:t>
            </w:r>
            <w:r w:rsidR="00010815" w:rsidRPr="005767EF">
              <w:rPr>
                <w:rFonts w:asciiTheme="minorHAnsi" w:hAnsiTheme="minorHAnsi"/>
                <w:sz w:val="20"/>
                <w:szCs w:val="20"/>
                <w:lang w:val="sr-Latn-RS" w:eastAsia="sr-Latn-RS"/>
              </w:rPr>
              <w:t>50.000,00</w:t>
            </w:r>
          </w:p>
        </w:tc>
        <w:tc>
          <w:tcPr>
            <w:tcW w:w="1408" w:type="dxa"/>
            <w:shd w:val="clear" w:color="000000" w:fill="FFFFFF"/>
            <w:hideMark/>
          </w:tcPr>
          <w:p w14:paraId="7FD65AEA"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175.000</w:t>
            </w:r>
            <w:r w:rsidR="00010815" w:rsidRPr="005767EF">
              <w:rPr>
                <w:rFonts w:asciiTheme="minorHAnsi" w:hAnsiTheme="minorHAnsi"/>
                <w:sz w:val="20"/>
                <w:szCs w:val="20"/>
                <w:lang w:val="sr-Latn-RS" w:eastAsia="sr-Latn-RS"/>
              </w:rPr>
              <w:t>,00</w:t>
            </w:r>
          </w:p>
        </w:tc>
      </w:tr>
      <w:tr w:rsidR="00010815" w:rsidRPr="005767EF" w14:paraId="48BC2D99" w14:textId="77777777" w:rsidTr="00F75B3A">
        <w:trPr>
          <w:trHeight w:val="219"/>
        </w:trPr>
        <w:tc>
          <w:tcPr>
            <w:tcW w:w="4925" w:type="dxa"/>
            <w:shd w:val="clear" w:color="000000" w:fill="FFFFFF"/>
            <w:hideMark/>
          </w:tcPr>
          <w:p w14:paraId="62D2CBBE" w14:textId="77777777" w:rsidR="00010815" w:rsidRPr="005767EF" w:rsidRDefault="00010815" w:rsidP="003D2212">
            <w:pPr>
              <w:rPr>
                <w:rFonts w:asciiTheme="minorHAnsi" w:hAnsiTheme="minorHAnsi"/>
                <w:sz w:val="20"/>
                <w:szCs w:val="20"/>
                <w:lang w:val="sr-Latn-RS" w:eastAsia="sr-Latn-RS"/>
              </w:rPr>
            </w:pPr>
            <w:r w:rsidRPr="005767EF">
              <w:rPr>
                <w:rFonts w:asciiTheme="minorHAnsi" w:hAnsiTheme="minorHAnsi"/>
                <w:sz w:val="20"/>
                <w:szCs w:val="20"/>
                <w:lang w:val="sr-Latn-RS" w:eastAsia="sr-Latn-RS"/>
              </w:rPr>
              <w:t>Л</w:t>
            </w:r>
            <w:r w:rsidR="003D2212" w:rsidRPr="005767EF">
              <w:rPr>
                <w:rFonts w:asciiTheme="minorHAnsi" w:hAnsiTheme="minorHAnsi"/>
                <w:sz w:val="20"/>
                <w:szCs w:val="20"/>
                <w:lang w:val="sr-Cyrl-RS" w:eastAsia="sr-Latn-RS"/>
              </w:rPr>
              <w:t>опаре</w:t>
            </w:r>
            <w:r w:rsidRPr="005767EF">
              <w:rPr>
                <w:rFonts w:asciiTheme="minorHAnsi" w:hAnsiTheme="minorHAnsi"/>
                <w:sz w:val="20"/>
                <w:szCs w:val="20"/>
                <w:lang w:val="sr-Latn-RS" w:eastAsia="sr-Latn-RS"/>
              </w:rPr>
              <w:t xml:space="preserve"> </w:t>
            </w:r>
          </w:p>
        </w:tc>
        <w:tc>
          <w:tcPr>
            <w:tcW w:w="1075" w:type="dxa"/>
            <w:shd w:val="clear" w:color="000000" w:fill="FFFFFF"/>
            <w:hideMark/>
          </w:tcPr>
          <w:p w14:paraId="4BDF29C4"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hideMark/>
          </w:tcPr>
          <w:p w14:paraId="4B5213B4" w14:textId="77777777" w:rsidR="00010815" w:rsidRPr="005767EF" w:rsidRDefault="00010815" w:rsidP="00E46092">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300.000,00</w:t>
            </w:r>
          </w:p>
        </w:tc>
        <w:tc>
          <w:tcPr>
            <w:tcW w:w="1408" w:type="dxa"/>
            <w:shd w:val="clear" w:color="000000" w:fill="FFFFFF"/>
            <w:hideMark/>
          </w:tcPr>
          <w:p w14:paraId="26CAAF84"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140.610</w:t>
            </w:r>
            <w:r w:rsidR="00010815" w:rsidRPr="005767EF">
              <w:rPr>
                <w:rFonts w:asciiTheme="minorHAnsi" w:hAnsiTheme="minorHAnsi"/>
                <w:sz w:val="20"/>
                <w:szCs w:val="20"/>
                <w:lang w:val="sr-Latn-RS" w:eastAsia="sr-Latn-RS"/>
              </w:rPr>
              <w:t>,00</w:t>
            </w:r>
          </w:p>
        </w:tc>
      </w:tr>
      <w:tr w:rsidR="003D2212" w:rsidRPr="005767EF" w14:paraId="1F453BD0" w14:textId="77777777" w:rsidTr="00F75B3A">
        <w:trPr>
          <w:trHeight w:val="219"/>
        </w:trPr>
        <w:tc>
          <w:tcPr>
            <w:tcW w:w="4925" w:type="dxa"/>
            <w:shd w:val="clear" w:color="000000" w:fill="FFFFFF"/>
          </w:tcPr>
          <w:p w14:paraId="762E2DD5" w14:textId="77777777" w:rsidR="003D2212" w:rsidRPr="005767EF" w:rsidRDefault="003D2212" w:rsidP="003D2212">
            <w:pPr>
              <w:rPr>
                <w:rFonts w:asciiTheme="minorHAnsi" w:hAnsiTheme="minorHAnsi"/>
                <w:sz w:val="20"/>
                <w:szCs w:val="20"/>
                <w:lang w:val="sr-Cyrl-RS" w:eastAsia="sr-Latn-RS"/>
              </w:rPr>
            </w:pPr>
            <w:r w:rsidRPr="005767EF">
              <w:rPr>
                <w:rFonts w:asciiTheme="minorHAnsi" w:hAnsiTheme="minorHAnsi"/>
                <w:sz w:val="20"/>
                <w:szCs w:val="20"/>
                <w:lang w:val="sr-Cyrl-RS" w:eastAsia="sr-Latn-RS"/>
              </w:rPr>
              <w:t>Модрича</w:t>
            </w:r>
          </w:p>
        </w:tc>
        <w:tc>
          <w:tcPr>
            <w:tcW w:w="1075" w:type="dxa"/>
            <w:shd w:val="clear" w:color="000000" w:fill="FFFFFF"/>
          </w:tcPr>
          <w:p w14:paraId="64A129C1" w14:textId="77777777" w:rsidR="003D2212"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tcPr>
          <w:p w14:paraId="15CBC82D" w14:textId="77777777" w:rsidR="003D2212"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2.200.000,00</w:t>
            </w:r>
          </w:p>
        </w:tc>
        <w:tc>
          <w:tcPr>
            <w:tcW w:w="1408" w:type="dxa"/>
            <w:shd w:val="clear" w:color="000000" w:fill="FFFFFF"/>
          </w:tcPr>
          <w:p w14:paraId="45CB31E0" w14:textId="77777777" w:rsidR="003D2212"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1.100.000,00</w:t>
            </w:r>
          </w:p>
        </w:tc>
      </w:tr>
      <w:tr w:rsidR="00010815" w:rsidRPr="005767EF" w14:paraId="6547EF6E" w14:textId="77777777" w:rsidTr="00F75B3A">
        <w:trPr>
          <w:trHeight w:val="219"/>
        </w:trPr>
        <w:tc>
          <w:tcPr>
            <w:tcW w:w="4925" w:type="dxa"/>
            <w:shd w:val="clear" w:color="000000" w:fill="FFFFFF"/>
            <w:hideMark/>
          </w:tcPr>
          <w:p w14:paraId="3E146172" w14:textId="77777777" w:rsidR="00010815" w:rsidRPr="005767EF" w:rsidRDefault="00010815" w:rsidP="003D2212">
            <w:pPr>
              <w:rPr>
                <w:rFonts w:asciiTheme="minorHAnsi" w:hAnsiTheme="minorHAnsi"/>
                <w:sz w:val="20"/>
                <w:szCs w:val="20"/>
                <w:lang w:val="sr-Latn-RS" w:eastAsia="sr-Latn-RS"/>
              </w:rPr>
            </w:pPr>
            <w:r w:rsidRPr="005767EF">
              <w:rPr>
                <w:rFonts w:asciiTheme="minorHAnsi" w:hAnsiTheme="minorHAnsi"/>
                <w:sz w:val="20"/>
                <w:szCs w:val="20"/>
                <w:lang w:val="sr-Latn-RS" w:eastAsia="sr-Latn-RS"/>
              </w:rPr>
              <w:t>П</w:t>
            </w:r>
            <w:r w:rsidR="003D2212" w:rsidRPr="005767EF">
              <w:rPr>
                <w:rFonts w:asciiTheme="minorHAnsi" w:hAnsiTheme="minorHAnsi"/>
                <w:sz w:val="20"/>
                <w:szCs w:val="20"/>
                <w:lang w:val="sr-Cyrl-RS" w:eastAsia="sr-Latn-RS"/>
              </w:rPr>
              <w:t>але</w:t>
            </w:r>
            <w:r w:rsidRPr="005767EF">
              <w:rPr>
                <w:rFonts w:asciiTheme="minorHAnsi" w:hAnsiTheme="minorHAnsi"/>
                <w:sz w:val="20"/>
                <w:szCs w:val="20"/>
                <w:lang w:val="sr-Latn-RS" w:eastAsia="sr-Latn-RS"/>
              </w:rPr>
              <w:t xml:space="preserve">  </w:t>
            </w:r>
          </w:p>
        </w:tc>
        <w:tc>
          <w:tcPr>
            <w:tcW w:w="1075" w:type="dxa"/>
            <w:shd w:val="clear" w:color="000000" w:fill="FFFFFF"/>
            <w:hideMark/>
          </w:tcPr>
          <w:p w14:paraId="2EEB25D0"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hideMark/>
          </w:tcPr>
          <w:p w14:paraId="0E165669"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15</w:t>
            </w:r>
            <w:r w:rsidRPr="005767EF">
              <w:rPr>
                <w:rFonts w:asciiTheme="minorHAnsi" w:hAnsiTheme="minorHAnsi"/>
                <w:sz w:val="20"/>
                <w:szCs w:val="20"/>
                <w:lang w:val="sr-Latn-RS" w:eastAsia="sr-Latn-RS"/>
              </w:rPr>
              <w:t>.</w:t>
            </w:r>
            <w:r w:rsidRPr="005767EF">
              <w:rPr>
                <w:rFonts w:asciiTheme="minorHAnsi" w:hAnsiTheme="minorHAnsi"/>
                <w:sz w:val="20"/>
                <w:szCs w:val="20"/>
                <w:lang w:val="sr-Cyrl-RS" w:eastAsia="sr-Latn-RS"/>
              </w:rPr>
              <w:t>0</w:t>
            </w:r>
            <w:r w:rsidR="00010815" w:rsidRPr="005767EF">
              <w:rPr>
                <w:rFonts w:asciiTheme="minorHAnsi" w:hAnsiTheme="minorHAnsi"/>
                <w:sz w:val="20"/>
                <w:szCs w:val="20"/>
                <w:lang w:val="sr-Latn-RS" w:eastAsia="sr-Latn-RS"/>
              </w:rPr>
              <w:t>00.000,00</w:t>
            </w:r>
          </w:p>
        </w:tc>
        <w:tc>
          <w:tcPr>
            <w:tcW w:w="1408" w:type="dxa"/>
            <w:shd w:val="clear" w:color="000000" w:fill="FFFFFF"/>
            <w:hideMark/>
          </w:tcPr>
          <w:p w14:paraId="09FDB651"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w:t>
            </w:r>
            <w:r w:rsidR="00010815" w:rsidRPr="005767EF">
              <w:rPr>
                <w:rFonts w:asciiTheme="minorHAnsi" w:hAnsiTheme="minorHAnsi"/>
                <w:sz w:val="20"/>
                <w:szCs w:val="20"/>
                <w:lang w:val="sr-Latn-RS" w:eastAsia="sr-Latn-RS"/>
              </w:rPr>
              <w:t>5</w:t>
            </w:r>
            <w:r w:rsidRPr="005767EF">
              <w:rPr>
                <w:rFonts w:asciiTheme="minorHAnsi" w:hAnsiTheme="minorHAnsi"/>
                <w:sz w:val="20"/>
                <w:szCs w:val="20"/>
                <w:lang w:val="sr-Cyrl-RS" w:eastAsia="sr-Latn-RS"/>
              </w:rPr>
              <w:t>0</w:t>
            </w:r>
            <w:r w:rsidR="00010815" w:rsidRPr="005767EF">
              <w:rPr>
                <w:rFonts w:asciiTheme="minorHAnsi" w:hAnsiTheme="minorHAnsi"/>
                <w:sz w:val="20"/>
                <w:szCs w:val="20"/>
                <w:lang w:val="sr-Latn-RS" w:eastAsia="sr-Latn-RS"/>
              </w:rPr>
              <w:t>0.000,00</w:t>
            </w:r>
          </w:p>
        </w:tc>
      </w:tr>
      <w:tr w:rsidR="00010815" w:rsidRPr="005767EF" w14:paraId="6FAC3EB0" w14:textId="77777777" w:rsidTr="00F75B3A">
        <w:trPr>
          <w:trHeight w:val="219"/>
        </w:trPr>
        <w:tc>
          <w:tcPr>
            <w:tcW w:w="4925" w:type="dxa"/>
            <w:shd w:val="clear" w:color="000000" w:fill="FFFFFF"/>
            <w:hideMark/>
          </w:tcPr>
          <w:p w14:paraId="13B93D09" w14:textId="77777777" w:rsidR="00010815" w:rsidRPr="005767EF" w:rsidRDefault="00010815" w:rsidP="003D2212">
            <w:pPr>
              <w:rPr>
                <w:rFonts w:asciiTheme="minorHAnsi" w:hAnsiTheme="minorHAnsi"/>
                <w:sz w:val="20"/>
                <w:szCs w:val="20"/>
                <w:lang w:val="sr-Cyrl-RS" w:eastAsia="sr-Latn-RS"/>
              </w:rPr>
            </w:pPr>
            <w:r w:rsidRPr="005767EF">
              <w:rPr>
                <w:rFonts w:asciiTheme="minorHAnsi" w:hAnsiTheme="minorHAnsi"/>
                <w:sz w:val="20"/>
                <w:szCs w:val="20"/>
                <w:lang w:val="sr-Latn-RS" w:eastAsia="sr-Latn-RS"/>
              </w:rPr>
              <w:t>П</w:t>
            </w:r>
            <w:r w:rsidR="003D2212" w:rsidRPr="005767EF">
              <w:rPr>
                <w:rFonts w:asciiTheme="minorHAnsi" w:hAnsiTheme="minorHAnsi"/>
                <w:sz w:val="20"/>
                <w:szCs w:val="20"/>
                <w:lang w:val="sr-Cyrl-RS" w:eastAsia="sr-Latn-RS"/>
              </w:rPr>
              <w:t>елагићево</w:t>
            </w:r>
          </w:p>
        </w:tc>
        <w:tc>
          <w:tcPr>
            <w:tcW w:w="1075" w:type="dxa"/>
            <w:shd w:val="clear" w:color="000000" w:fill="FFFFFF"/>
            <w:hideMark/>
          </w:tcPr>
          <w:p w14:paraId="44672F3A"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hideMark/>
          </w:tcPr>
          <w:p w14:paraId="458B9D4F"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3.800.000,00</w:t>
            </w:r>
          </w:p>
        </w:tc>
        <w:tc>
          <w:tcPr>
            <w:tcW w:w="1408" w:type="dxa"/>
            <w:shd w:val="clear" w:color="000000" w:fill="FFFFFF"/>
            <w:hideMark/>
          </w:tcPr>
          <w:p w14:paraId="181EC65B"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1.500.000,00</w:t>
            </w:r>
          </w:p>
        </w:tc>
      </w:tr>
      <w:tr w:rsidR="00010815" w:rsidRPr="005767EF" w14:paraId="1121A124" w14:textId="77777777" w:rsidTr="00F75B3A">
        <w:trPr>
          <w:trHeight w:val="219"/>
        </w:trPr>
        <w:tc>
          <w:tcPr>
            <w:tcW w:w="4925" w:type="dxa"/>
            <w:shd w:val="clear" w:color="000000" w:fill="FFFFFF"/>
            <w:hideMark/>
          </w:tcPr>
          <w:p w14:paraId="3DEDD787" w14:textId="77777777" w:rsidR="00010815" w:rsidRPr="005767EF" w:rsidRDefault="00010815" w:rsidP="00E46092">
            <w:pPr>
              <w:rPr>
                <w:rFonts w:asciiTheme="minorHAnsi" w:hAnsiTheme="minorHAnsi"/>
                <w:sz w:val="20"/>
                <w:szCs w:val="20"/>
                <w:lang w:val="sr-Latn-RS" w:eastAsia="sr-Latn-RS"/>
              </w:rPr>
            </w:pPr>
            <w:r w:rsidRPr="005767EF">
              <w:rPr>
                <w:rFonts w:asciiTheme="minorHAnsi" w:hAnsiTheme="minorHAnsi"/>
                <w:sz w:val="20"/>
                <w:szCs w:val="20"/>
                <w:lang w:val="sr-Latn-RS" w:eastAsia="sr-Latn-RS"/>
              </w:rPr>
              <w:t xml:space="preserve">Соколац </w:t>
            </w:r>
          </w:p>
        </w:tc>
        <w:tc>
          <w:tcPr>
            <w:tcW w:w="1075" w:type="dxa"/>
            <w:shd w:val="clear" w:color="000000" w:fill="FFFFFF"/>
            <w:hideMark/>
          </w:tcPr>
          <w:p w14:paraId="68723DF7"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1381" w:type="dxa"/>
            <w:shd w:val="clear" w:color="000000" w:fill="FFFFFF"/>
            <w:hideMark/>
          </w:tcPr>
          <w:p w14:paraId="01C02A77"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1.500.</w:t>
            </w:r>
            <w:r w:rsidR="00010815" w:rsidRPr="005767EF">
              <w:rPr>
                <w:rFonts w:asciiTheme="minorHAnsi" w:hAnsiTheme="minorHAnsi"/>
                <w:sz w:val="20"/>
                <w:szCs w:val="20"/>
                <w:lang w:val="sr-Latn-RS" w:eastAsia="sr-Latn-RS"/>
              </w:rPr>
              <w:t>000,00</w:t>
            </w:r>
          </w:p>
        </w:tc>
        <w:tc>
          <w:tcPr>
            <w:tcW w:w="1408" w:type="dxa"/>
            <w:shd w:val="clear" w:color="000000" w:fill="FFFFFF"/>
            <w:hideMark/>
          </w:tcPr>
          <w:p w14:paraId="4429C2C4"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249.900</w:t>
            </w:r>
            <w:r w:rsidR="00010815" w:rsidRPr="005767EF">
              <w:rPr>
                <w:rFonts w:asciiTheme="minorHAnsi" w:hAnsiTheme="minorHAnsi"/>
                <w:sz w:val="20"/>
                <w:szCs w:val="20"/>
                <w:lang w:val="sr-Latn-RS" w:eastAsia="sr-Latn-RS"/>
              </w:rPr>
              <w:t>,00</w:t>
            </w:r>
          </w:p>
        </w:tc>
      </w:tr>
      <w:tr w:rsidR="00010815" w:rsidRPr="005767EF" w14:paraId="50EE99D4" w14:textId="77777777" w:rsidTr="00F75B3A">
        <w:trPr>
          <w:trHeight w:val="219"/>
        </w:trPr>
        <w:tc>
          <w:tcPr>
            <w:tcW w:w="4925" w:type="dxa"/>
            <w:shd w:val="clear" w:color="000000" w:fill="FFFFFF"/>
            <w:hideMark/>
          </w:tcPr>
          <w:p w14:paraId="522F9494" w14:textId="77777777" w:rsidR="00010815" w:rsidRPr="005767EF" w:rsidRDefault="003D2212" w:rsidP="003D2212">
            <w:pPr>
              <w:rPr>
                <w:rFonts w:asciiTheme="minorHAnsi" w:hAnsiTheme="minorHAnsi"/>
                <w:sz w:val="20"/>
                <w:szCs w:val="20"/>
                <w:lang w:val="sr-Latn-RS" w:eastAsia="sr-Latn-RS"/>
              </w:rPr>
            </w:pPr>
            <w:r w:rsidRPr="005767EF">
              <w:rPr>
                <w:rFonts w:asciiTheme="minorHAnsi" w:hAnsiTheme="minorHAnsi"/>
                <w:sz w:val="20"/>
                <w:szCs w:val="20"/>
                <w:lang w:val="sr-Cyrl-RS" w:eastAsia="sr-Latn-RS"/>
              </w:rPr>
              <w:t>Требиње</w:t>
            </w:r>
            <w:r w:rsidR="00010815" w:rsidRPr="005767EF">
              <w:rPr>
                <w:rFonts w:asciiTheme="minorHAnsi" w:hAnsiTheme="minorHAnsi"/>
                <w:sz w:val="20"/>
                <w:szCs w:val="20"/>
                <w:lang w:val="sr-Latn-RS" w:eastAsia="sr-Latn-RS"/>
              </w:rPr>
              <w:t xml:space="preserve"> </w:t>
            </w:r>
          </w:p>
        </w:tc>
        <w:tc>
          <w:tcPr>
            <w:tcW w:w="1075" w:type="dxa"/>
            <w:shd w:val="clear" w:color="000000" w:fill="FFFFFF"/>
            <w:hideMark/>
          </w:tcPr>
          <w:p w14:paraId="0663DBF1" w14:textId="77777777" w:rsidR="00010815" w:rsidRPr="005767EF" w:rsidRDefault="00010815" w:rsidP="003D2212">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w:t>
            </w:r>
          </w:p>
        </w:tc>
        <w:tc>
          <w:tcPr>
            <w:tcW w:w="1381" w:type="dxa"/>
            <w:shd w:val="clear" w:color="000000" w:fill="FFFFFF"/>
            <w:hideMark/>
          </w:tcPr>
          <w:p w14:paraId="3FF96ECA"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2.500</w:t>
            </w:r>
            <w:r w:rsidR="00010815" w:rsidRPr="005767EF">
              <w:rPr>
                <w:rFonts w:asciiTheme="minorHAnsi" w:hAnsiTheme="minorHAnsi"/>
                <w:sz w:val="20"/>
                <w:szCs w:val="20"/>
                <w:lang w:val="sr-Latn-RS" w:eastAsia="sr-Latn-RS"/>
              </w:rPr>
              <w:t>.000,00</w:t>
            </w:r>
          </w:p>
        </w:tc>
        <w:tc>
          <w:tcPr>
            <w:tcW w:w="1408" w:type="dxa"/>
            <w:shd w:val="clear" w:color="000000" w:fill="FFFFFF"/>
            <w:hideMark/>
          </w:tcPr>
          <w:p w14:paraId="5F1C04BC"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749</w:t>
            </w:r>
            <w:r w:rsidRPr="005767EF">
              <w:rPr>
                <w:rFonts w:asciiTheme="minorHAnsi" w:hAnsiTheme="minorHAnsi"/>
                <w:sz w:val="20"/>
                <w:szCs w:val="20"/>
                <w:lang w:val="sr-Latn-RS" w:eastAsia="sr-Latn-RS"/>
              </w:rPr>
              <w:t>.</w:t>
            </w:r>
            <w:r w:rsidRPr="005767EF">
              <w:rPr>
                <w:rFonts w:asciiTheme="minorHAnsi" w:hAnsiTheme="minorHAnsi"/>
                <w:sz w:val="20"/>
                <w:szCs w:val="20"/>
                <w:lang w:val="sr-Cyrl-RS" w:eastAsia="sr-Latn-RS"/>
              </w:rPr>
              <w:t>75</w:t>
            </w:r>
            <w:r w:rsidR="00010815" w:rsidRPr="005767EF">
              <w:rPr>
                <w:rFonts w:asciiTheme="minorHAnsi" w:hAnsiTheme="minorHAnsi"/>
                <w:sz w:val="20"/>
                <w:szCs w:val="20"/>
                <w:lang w:val="sr-Latn-RS" w:eastAsia="sr-Latn-RS"/>
              </w:rPr>
              <w:t>0,00</w:t>
            </w:r>
          </w:p>
        </w:tc>
      </w:tr>
      <w:tr w:rsidR="003D2212" w:rsidRPr="005767EF" w14:paraId="739A28C6" w14:textId="77777777" w:rsidTr="00F75B3A">
        <w:trPr>
          <w:trHeight w:val="273"/>
        </w:trPr>
        <w:tc>
          <w:tcPr>
            <w:tcW w:w="4925" w:type="dxa"/>
            <w:shd w:val="clear" w:color="auto" w:fill="8DB3E2" w:themeFill="text2" w:themeFillTint="66"/>
            <w:hideMark/>
          </w:tcPr>
          <w:p w14:paraId="6C904BAE" w14:textId="77777777" w:rsidR="003D2212" w:rsidRPr="005767EF" w:rsidRDefault="003D2212" w:rsidP="003D2212">
            <w:pPr>
              <w:jc w:val="center"/>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УКУПНО</w:t>
            </w:r>
          </w:p>
        </w:tc>
        <w:tc>
          <w:tcPr>
            <w:tcW w:w="1075" w:type="dxa"/>
            <w:shd w:val="clear" w:color="auto" w:fill="8DB3E2" w:themeFill="text2" w:themeFillTint="66"/>
            <w:hideMark/>
          </w:tcPr>
          <w:p w14:paraId="76B4411A" w14:textId="77777777" w:rsidR="003D2212" w:rsidRPr="005767EF" w:rsidRDefault="003B2F4F" w:rsidP="003D2212">
            <w:pPr>
              <w:jc w:val="center"/>
              <w:rPr>
                <w:rFonts w:asciiTheme="minorHAnsi" w:hAnsiTheme="minorHAnsi"/>
                <w:b/>
                <w:sz w:val="20"/>
                <w:szCs w:val="20"/>
                <w:lang w:val="sr-Cyrl-RS" w:eastAsia="sr-Latn-RS"/>
              </w:rPr>
            </w:pPr>
            <w:r>
              <w:rPr>
                <w:rFonts w:asciiTheme="minorHAnsi" w:hAnsiTheme="minorHAnsi"/>
                <w:b/>
                <w:sz w:val="20"/>
                <w:szCs w:val="20"/>
                <w:lang w:val="sr-Cyrl-RS" w:eastAsia="sr-Latn-RS"/>
              </w:rPr>
              <w:t>8</w:t>
            </w:r>
          </w:p>
        </w:tc>
        <w:tc>
          <w:tcPr>
            <w:tcW w:w="1381" w:type="dxa"/>
            <w:shd w:val="clear" w:color="auto" w:fill="8DB3E2" w:themeFill="text2" w:themeFillTint="66"/>
            <w:hideMark/>
          </w:tcPr>
          <w:p w14:paraId="7C327C0D" w14:textId="77777777" w:rsidR="003D2212" w:rsidRPr="005767EF" w:rsidRDefault="003D2212" w:rsidP="00F75B3A">
            <w:pPr>
              <w:ind w:right="-106"/>
              <w:jc w:val="left"/>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2</w:t>
            </w:r>
            <w:r w:rsidR="00F75B3A">
              <w:rPr>
                <w:rFonts w:asciiTheme="minorHAnsi" w:hAnsiTheme="minorHAnsi"/>
                <w:b/>
                <w:sz w:val="20"/>
                <w:szCs w:val="20"/>
                <w:lang w:val="sr-Cyrl-RS" w:eastAsia="sr-Latn-RS"/>
              </w:rPr>
              <w:t>5</w:t>
            </w:r>
            <w:r w:rsidRPr="005767EF">
              <w:rPr>
                <w:rFonts w:asciiTheme="minorHAnsi" w:hAnsiTheme="minorHAnsi"/>
                <w:b/>
                <w:sz w:val="20"/>
                <w:szCs w:val="20"/>
                <w:lang w:val="sr-Cyrl-RS" w:eastAsia="sr-Latn-RS"/>
              </w:rPr>
              <w:t>.</w:t>
            </w:r>
            <w:r w:rsidR="00F75B3A">
              <w:rPr>
                <w:rFonts w:asciiTheme="minorHAnsi" w:hAnsiTheme="minorHAnsi"/>
                <w:b/>
                <w:sz w:val="20"/>
                <w:szCs w:val="20"/>
                <w:lang w:val="sr-Cyrl-RS" w:eastAsia="sr-Latn-RS"/>
              </w:rPr>
              <w:t>7</w:t>
            </w:r>
            <w:r w:rsidRPr="005767EF">
              <w:rPr>
                <w:rFonts w:asciiTheme="minorHAnsi" w:hAnsiTheme="minorHAnsi"/>
                <w:b/>
                <w:sz w:val="20"/>
                <w:szCs w:val="20"/>
                <w:lang w:val="sr-Cyrl-RS" w:eastAsia="sr-Latn-RS"/>
              </w:rPr>
              <w:t>60.000,00</w:t>
            </w:r>
          </w:p>
        </w:tc>
        <w:tc>
          <w:tcPr>
            <w:tcW w:w="1408" w:type="dxa"/>
            <w:shd w:val="clear" w:color="auto" w:fill="8DB3E2" w:themeFill="text2" w:themeFillTint="66"/>
            <w:hideMark/>
          </w:tcPr>
          <w:p w14:paraId="37CDF76F" w14:textId="77777777" w:rsidR="003D2212" w:rsidRPr="005767EF" w:rsidRDefault="00F75B3A" w:rsidP="003D2212">
            <w:pPr>
              <w:jc w:val="right"/>
              <w:rPr>
                <w:rFonts w:asciiTheme="minorHAnsi" w:hAnsiTheme="minorHAnsi"/>
                <w:b/>
                <w:sz w:val="20"/>
                <w:szCs w:val="20"/>
                <w:lang w:val="sr-Cyrl-RS" w:eastAsia="sr-Latn-RS"/>
              </w:rPr>
            </w:pPr>
            <w:r>
              <w:rPr>
                <w:rFonts w:asciiTheme="minorHAnsi" w:hAnsiTheme="minorHAnsi"/>
                <w:b/>
                <w:sz w:val="20"/>
                <w:szCs w:val="20"/>
                <w:lang w:val="sr-Cyrl-RS" w:eastAsia="sr-Latn-RS"/>
              </w:rPr>
              <w:t>5.470</w:t>
            </w:r>
            <w:r w:rsidR="003D2212" w:rsidRPr="005767EF">
              <w:rPr>
                <w:rFonts w:asciiTheme="minorHAnsi" w:hAnsiTheme="minorHAnsi"/>
                <w:b/>
                <w:sz w:val="20"/>
                <w:szCs w:val="20"/>
                <w:lang w:val="sr-Cyrl-RS" w:eastAsia="sr-Latn-RS"/>
              </w:rPr>
              <w:t>.260,00</w:t>
            </w:r>
          </w:p>
        </w:tc>
      </w:tr>
    </w:tbl>
    <w:p w14:paraId="7C1B30C2" w14:textId="77777777" w:rsidR="00010815" w:rsidRPr="005767EF" w:rsidRDefault="00010815" w:rsidP="00010815">
      <w:pPr>
        <w:autoSpaceDE w:val="0"/>
        <w:autoSpaceDN w:val="0"/>
        <w:adjustRightInd w:val="0"/>
        <w:rPr>
          <w:rFonts w:asciiTheme="minorHAnsi" w:eastAsiaTheme="minorHAnsi" w:hAnsiTheme="minorHAnsi"/>
          <w:color w:val="auto"/>
          <w:sz w:val="20"/>
          <w:szCs w:val="20"/>
          <w:lang w:val="sr-Latn-BA" w:eastAsia="en-US"/>
        </w:rPr>
      </w:pPr>
    </w:p>
    <w:p w14:paraId="3A2A73FE" w14:textId="77777777" w:rsidR="00F75B3A" w:rsidRPr="00444987" w:rsidRDefault="00451648" w:rsidP="00947FBF">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Током 2023. године, издане су гаранције привредним друштвима регистрованим у 2 града и 6 опш</w:t>
      </w:r>
      <w:r w:rsidR="00C83136">
        <w:rPr>
          <w:rFonts w:asciiTheme="minorHAnsi" w:eastAsiaTheme="minorHAnsi" w:hAnsiTheme="minorHAnsi"/>
          <w:color w:val="auto"/>
          <w:sz w:val="20"/>
          <w:szCs w:val="20"/>
          <w:lang w:val="sr-Cyrl-BA" w:eastAsia="en-US"/>
        </w:rPr>
        <w:t>т</w:t>
      </w:r>
      <w:r>
        <w:rPr>
          <w:rFonts w:asciiTheme="minorHAnsi" w:eastAsiaTheme="minorHAnsi" w:hAnsiTheme="minorHAnsi"/>
          <w:color w:val="auto"/>
          <w:sz w:val="20"/>
          <w:szCs w:val="20"/>
          <w:lang w:val="sr-Cyrl-BA" w:eastAsia="en-US"/>
        </w:rPr>
        <w:t>ина Републике Српске.</w:t>
      </w:r>
    </w:p>
    <w:p w14:paraId="09B0B84F" w14:textId="77777777" w:rsidR="00947FBF" w:rsidRDefault="00947FBF" w:rsidP="00947FBF">
      <w:pPr>
        <w:autoSpaceDE w:val="0"/>
        <w:autoSpaceDN w:val="0"/>
        <w:adjustRightInd w:val="0"/>
        <w:rPr>
          <w:rFonts w:asciiTheme="minorHAnsi" w:eastAsiaTheme="minorHAnsi" w:hAnsiTheme="minorHAnsi"/>
          <w:b/>
          <w:bCs/>
          <w:color w:val="auto"/>
          <w:sz w:val="20"/>
          <w:szCs w:val="20"/>
          <w:lang w:val="sr-Cyrl-RS" w:eastAsia="en-US"/>
        </w:rPr>
      </w:pPr>
    </w:p>
    <w:p w14:paraId="5B9B6ACA" w14:textId="77777777" w:rsidR="001538EF" w:rsidRPr="005767EF" w:rsidRDefault="001538EF" w:rsidP="001538EF">
      <w:pPr>
        <w:autoSpaceDE w:val="0"/>
        <w:autoSpaceDN w:val="0"/>
        <w:adjustRightInd w:val="0"/>
        <w:jc w:val="center"/>
        <w:rPr>
          <w:rFonts w:asciiTheme="minorHAnsi" w:eastAsiaTheme="minorHAnsi" w:hAnsiTheme="minorHAnsi"/>
          <w:b/>
          <w:bCs/>
          <w:color w:val="auto"/>
          <w:sz w:val="20"/>
          <w:szCs w:val="20"/>
          <w:lang w:val="sr-Latn-RS" w:eastAsia="en-US"/>
        </w:rPr>
      </w:pPr>
      <w:r w:rsidRPr="005767EF">
        <w:rPr>
          <w:rFonts w:asciiTheme="minorHAnsi" w:eastAsiaTheme="minorHAnsi" w:hAnsiTheme="minorHAnsi"/>
          <w:b/>
          <w:bCs/>
          <w:color w:val="auto"/>
          <w:sz w:val="20"/>
          <w:szCs w:val="20"/>
          <w:lang w:val="sr-Latn-RS" w:eastAsia="en-US"/>
        </w:rPr>
        <w:t xml:space="preserve">Преглед </w:t>
      </w:r>
      <w:r w:rsidRPr="005767EF">
        <w:rPr>
          <w:rFonts w:asciiTheme="minorHAnsi" w:eastAsiaTheme="minorHAnsi" w:hAnsiTheme="minorHAnsi"/>
          <w:b/>
          <w:bCs/>
          <w:color w:val="auto"/>
          <w:sz w:val="20"/>
          <w:szCs w:val="20"/>
          <w:lang w:val="sr-Cyrl-BA" w:eastAsia="en-US"/>
        </w:rPr>
        <w:t xml:space="preserve"> </w:t>
      </w:r>
      <w:r w:rsidRPr="005767EF">
        <w:rPr>
          <w:rFonts w:asciiTheme="minorHAnsi" w:eastAsiaTheme="minorHAnsi" w:hAnsiTheme="minorHAnsi"/>
          <w:b/>
          <w:bCs/>
          <w:color w:val="auto"/>
          <w:sz w:val="20"/>
          <w:szCs w:val="20"/>
          <w:lang w:val="sr-Latn-RS" w:eastAsia="en-US"/>
        </w:rPr>
        <w:t xml:space="preserve">гаранција </w:t>
      </w:r>
      <w:r w:rsidRPr="005767EF">
        <w:rPr>
          <w:rFonts w:asciiTheme="minorHAnsi" w:eastAsiaTheme="minorHAnsi" w:hAnsiTheme="minorHAnsi"/>
          <w:b/>
          <w:bCs/>
          <w:color w:val="auto"/>
          <w:sz w:val="20"/>
          <w:szCs w:val="20"/>
          <w:lang w:val="sr-Cyrl-BA" w:eastAsia="en-US"/>
        </w:rPr>
        <w:t>ван снаге</w:t>
      </w:r>
      <w:r w:rsidR="00153592" w:rsidRPr="005767EF">
        <w:rPr>
          <w:rFonts w:asciiTheme="minorHAnsi" w:eastAsiaTheme="minorHAnsi" w:hAnsiTheme="minorHAnsi"/>
          <w:b/>
          <w:bCs/>
          <w:color w:val="auto"/>
          <w:sz w:val="20"/>
          <w:szCs w:val="20"/>
          <w:lang w:val="sr-Cyrl-BA" w:eastAsia="en-US"/>
        </w:rPr>
        <w:t xml:space="preserve"> у</w:t>
      </w:r>
      <w:r w:rsidR="002A1615" w:rsidRPr="005767EF">
        <w:rPr>
          <w:rFonts w:asciiTheme="minorHAnsi" w:eastAsiaTheme="minorHAnsi" w:hAnsiTheme="minorHAnsi"/>
          <w:b/>
          <w:bCs/>
          <w:color w:val="auto"/>
          <w:sz w:val="20"/>
          <w:szCs w:val="20"/>
          <w:lang w:val="sr-Latn-RS" w:eastAsia="en-US"/>
        </w:rPr>
        <w:t xml:space="preserve"> период</w:t>
      </w:r>
      <w:r w:rsidR="00153592" w:rsidRPr="005767EF">
        <w:rPr>
          <w:rFonts w:asciiTheme="minorHAnsi" w:eastAsiaTheme="minorHAnsi" w:hAnsiTheme="minorHAnsi"/>
          <w:b/>
          <w:bCs/>
          <w:color w:val="auto"/>
          <w:sz w:val="20"/>
          <w:szCs w:val="20"/>
          <w:lang w:val="sr-Cyrl-RS" w:eastAsia="en-US"/>
        </w:rPr>
        <w:t>у</w:t>
      </w:r>
      <w:r w:rsidR="002A1615" w:rsidRPr="005767EF">
        <w:rPr>
          <w:rFonts w:asciiTheme="minorHAnsi" w:eastAsiaTheme="minorHAnsi" w:hAnsiTheme="minorHAnsi"/>
          <w:b/>
          <w:bCs/>
          <w:color w:val="auto"/>
          <w:sz w:val="20"/>
          <w:szCs w:val="20"/>
          <w:lang w:val="sr-Latn-RS" w:eastAsia="en-US"/>
        </w:rPr>
        <w:t xml:space="preserve"> 01.01.202</w:t>
      </w:r>
      <w:r w:rsidR="002A1615" w:rsidRPr="005767EF">
        <w:rPr>
          <w:rFonts w:asciiTheme="minorHAnsi" w:eastAsiaTheme="minorHAnsi" w:hAnsiTheme="minorHAnsi"/>
          <w:b/>
          <w:bCs/>
          <w:color w:val="auto"/>
          <w:sz w:val="20"/>
          <w:szCs w:val="20"/>
          <w:lang w:val="sr-Cyrl-RS" w:eastAsia="en-US"/>
        </w:rPr>
        <w:t>3</w:t>
      </w:r>
      <w:r w:rsidRPr="005767EF">
        <w:rPr>
          <w:rFonts w:asciiTheme="minorHAnsi" w:eastAsiaTheme="minorHAnsi" w:hAnsiTheme="minorHAnsi"/>
          <w:b/>
          <w:bCs/>
          <w:color w:val="auto"/>
          <w:sz w:val="20"/>
          <w:szCs w:val="20"/>
          <w:lang w:val="sr-Latn-RS" w:eastAsia="en-US"/>
        </w:rPr>
        <w:t>. - 31.12.202</w:t>
      </w:r>
      <w:r w:rsidR="002A1615" w:rsidRPr="005767EF">
        <w:rPr>
          <w:rFonts w:asciiTheme="minorHAnsi" w:eastAsiaTheme="minorHAnsi" w:hAnsiTheme="minorHAnsi"/>
          <w:b/>
          <w:bCs/>
          <w:color w:val="auto"/>
          <w:sz w:val="20"/>
          <w:szCs w:val="20"/>
          <w:lang w:val="sr-Cyrl-RS" w:eastAsia="en-US"/>
        </w:rPr>
        <w:t>3</w:t>
      </w:r>
      <w:r w:rsidRPr="005767EF">
        <w:rPr>
          <w:rFonts w:asciiTheme="minorHAnsi" w:eastAsiaTheme="minorHAnsi" w:hAnsiTheme="minorHAnsi"/>
          <w:b/>
          <w:bCs/>
          <w:color w:val="auto"/>
          <w:sz w:val="20"/>
          <w:szCs w:val="20"/>
          <w:lang w:val="sr-Latn-RS" w:eastAsia="en-US"/>
        </w:rPr>
        <w:t>. године</w:t>
      </w:r>
    </w:p>
    <w:p w14:paraId="745CBB25" w14:textId="77777777" w:rsidR="001538EF" w:rsidRPr="005767EF" w:rsidRDefault="001538EF" w:rsidP="001538EF">
      <w:pPr>
        <w:autoSpaceDE w:val="0"/>
        <w:autoSpaceDN w:val="0"/>
        <w:adjustRightInd w:val="0"/>
        <w:jc w:val="center"/>
        <w:rPr>
          <w:rFonts w:asciiTheme="minorHAnsi" w:eastAsiaTheme="minorHAnsi" w:hAnsiTheme="minorHAnsi"/>
          <w:b/>
          <w:bCs/>
          <w:color w:val="auto"/>
          <w:sz w:val="20"/>
          <w:szCs w:val="20"/>
          <w:lang w:val="sr-Latn-RS" w:eastAsia="en-US"/>
        </w:rPr>
      </w:pPr>
    </w:p>
    <w:p w14:paraId="24846CA2" w14:textId="77777777" w:rsidR="00900F10" w:rsidRPr="00900F10" w:rsidRDefault="001538EF" w:rsidP="00900F10">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Cyrl-BA" w:eastAsia="en-US"/>
        </w:rPr>
        <w:t xml:space="preserve">       </w:t>
      </w:r>
      <w:r w:rsidR="001528EB" w:rsidRPr="005767EF">
        <w:rPr>
          <w:rFonts w:asciiTheme="minorHAnsi" w:eastAsiaTheme="minorHAnsi" w:hAnsiTheme="minorHAnsi"/>
          <w:color w:val="auto"/>
          <w:sz w:val="20"/>
          <w:szCs w:val="20"/>
          <w:lang w:val="sr-Cyrl-BA" w:eastAsia="en-US"/>
        </w:rPr>
        <w:t xml:space="preserve">      </w:t>
      </w:r>
      <w:r w:rsidR="00C741B4">
        <w:rPr>
          <w:rFonts w:asciiTheme="minorHAnsi" w:eastAsiaTheme="minorHAnsi" w:hAnsiTheme="minorHAnsi"/>
          <w:color w:val="auto"/>
          <w:sz w:val="20"/>
          <w:szCs w:val="20"/>
          <w:lang w:val="sr-Cyrl-BA" w:eastAsia="en-US"/>
        </w:rPr>
        <w:t xml:space="preserve">    </w:t>
      </w:r>
      <w:r w:rsidRPr="005767EF">
        <w:rPr>
          <w:rFonts w:asciiTheme="minorHAnsi" w:eastAsiaTheme="minorHAnsi" w:hAnsiTheme="minorHAnsi"/>
          <w:color w:val="auto"/>
          <w:sz w:val="20"/>
          <w:szCs w:val="20"/>
          <w:lang w:val="sr-Cyrl-BA" w:eastAsia="en-US"/>
        </w:rPr>
        <w:t xml:space="preserve">   </w:t>
      </w:r>
      <w:r w:rsidR="00C741B4">
        <w:rPr>
          <w:rFonts w:asciiTheme="minorHAnsi" w:eastAsiaTheme="minorHAnsi" w:hAnsiTheme="minorHAnsi"/>
          <w:b/>
          <w:color w:val="auto"/>
          <w:sz w:val="20"/>
          <w:szCs w:val="20"/>
          <w:lang w:val="sr-Cyrl-BA" w:eastAsia="en-US"/>
        </w:rPr>
        <w:t xml:space="preserve">Табела </w:t>
      </w:r>
      <w:r w:rsidR="00E3312F">
        <w:rPr>
          <w:rFonts w:asciiTheme="minorHAnsi" w:eastAsiaTheme="minorHAnsi" w:hAnsiTheme="minorHAnsi"/>
          <w:b/>
          <w:color w:val="auto"/>
          <w:sz w:val="20"/>
          <w:szCs w:val="20"/>
          <w:lang w:val="sr-Cyrl-BA" w:eastAsia="en-US"/>
        </w:rPr>
        <w:t>5</w:t>
      </w:r>
      <w:r w:rsidR="00900F10">
        <w:rPr>
          <w:rFonts w:eastAsiaTheme="minorHAnsi"/>
          <w:lang w:val="sr-Cyrl-BA" w:eastAsia="en-US"/>
        </w:rPr>
        <w:fldChar w:fldCharType="begin"/>
      </w:r>
      <w:r w:rsidR="00900F10">
        <w:rPr>
          <w:rFonts w:eastAsiaTheme="minorHAnsi"/>
          <w:lang w:val="sr-Cyrl-BA" w:eastAsia="en-US"/>
        </w:rPr>
        <w:instrText xml:space="preserve"> LINK </w:instrText>
      </w:r>
      <w:r w:rsidR="000C6E09">
        <w:rPr>
          <w:rFonts w:eastAsiaTheme="minorHAnsi"/>
          <w:lang w:val="sr-Cyrl-BA" w:eastAsia="en-US"/>
        </w:rPr>
        <w:instrText xml:space="preserve">Excel.Sheet.12 "\\\\NASSYNOLOGY\\OfflineRest\\radana.lukic\\Desktop\\Izvještaj o radu i poslovanju za 2023. godinu\\Book1.xlsx" "van snage!R3C2:R27C5" </w:instrText>
      </w:r>
      <w:r w:rsidR="00900F10">
        <w:rPr>
          <w:rFonts w:eastAsiaTheme="minorHAnsi"/>
          <w:lang w:val="sr-Cyrl-BA" w:eastAsia="en-US"/>
        </w:rPr>
        <w:instrText xml:space="preserve">\a \f 4 \h  \* MERGEFORMAT </w:instrText>
      </w:r>
      <w:r w:rsidR="00900F10">
        <w:rPr>
          <w:rFonts w:eastAsiaTheme="minorHAnsi"/>
          <w:lang w:val="sr-Cyrl-BA" w:eastAsia="en-US"/>
        </w:rPr>
        <w:fldChar w:fldCharType="separate"/>
      </w:r>
    </w:p>
    <w:tbl>
      <w:tblPr>
        <w:tblW w:w="8789" w:type="dxa"/>
        <w:tblInd w:w="108" w:type="dxa"/>
        <w:tblLook w:val="04A0" w:firstRow="1" w:lastRow="0" w:firstColumn="1" w:lastColumn="0" w:noHBand="0" w:noVBand="1"/>
      </w:tblPr>
      <w:tblGrid>
        <w:gridCol w:w="851"/>
        <w:gridCol w:w="3827"/>
        <w:gridCol w:w="2410"/>
        <w:gridCol w:w="1701"/>
      </w:tblGrid>
      <w:tr w:rsidR="00900F10" w:rsidRPr="00900F10" w14:paraId="5488AC33" w14:textId="77777777" w:rsidTr="00900F10">
        <w:trPr>
          <w:trHeight w:val="315"/>
        </w:trPr>
        <w:tc>
          <w:tcPr>
            <w:tcW w:w="851" w:type="dxa"/>
            <w:vMerge w:val="restart"/>
            <w:tcBorders>
              <w:top w:val="single" w:sz="4" w:space="0" w:color="auto"/>
              <w:left w:val="single" w:sz="4" w:space="0" w:color="auto"/>
              <w:bottom w:val="single" w:sz="4" w:space="0" w:color="auto"/>
              <w:right w:val="single" w:sz="4" w:space="0" w:color="auto"/>
            </w:tcBorders>
            <w:shd w:val="clear" w:color="000000" w:fill="548DD4"/>
            <w:vAlign w:val="center"/>
            <w:hideMark/>
          </w:tcPr>
          <w:p w14:paraId="074855CD" w14:textId="77777777" w:rsidR="00900F10" w:rsidRPr="00900F10" w:rsidRDefault="00900F10" w:rsidP="00900F10">
            <w:pPr>
              <w:rPr>
                <w:rFonts w:ascii="Calibri" w:hAnsi="Calibri"/>
                <w:b/>
                <w:bCs/>
                <w:sz w:val="20"/>
                <w:szCs w:val="20"/>
              </w:rPr>
            </w:pPr>
            <w:r w:rsidRPr="00900F10">
              <w:rPr>
                <w:rFonts w:ascii="Calibri" w:hAnsi="Calibri"/>
                <w:b/>
                <w:bCs/>
                <w:sz w:val="20"/>
                <w:szCs w:val="20"/>
              </w:rPr>
              <w:t>Редни број</w:t>
            </w:r>
          </w:p>
        </w:tc>
        <w:tc>
          <w:tcPr>
            <w:tcW w:w="3827" w:type="dxa"/>
            <w:vMerge w:val="restart"/>
            <w:tcBorders>
              <w:top w:val="single" w:sz="4" w:space="0" w:color="auto"/>
              <w:left w:val="single" w:sz="4" w:space="0" w:color="auto"/>
              <w:bottom w:val="single" w:sz="4" w:space="0" w:color="auto"/>
              <w:right w:val="nil"/>
            </w:tcBorders>
            <w:shd w:val="clear" w:color="000000" w:fill="548DD4"/>
            <w:vAlign w:val="center"/>
            <w:hideMark/>
          </w:tcPr>
          <w:p w14:paraId="7D104FDE"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Налогодавац гаранције</w:t>
            </w:r>
          </w:p>
        </w:tc>
        <w:tc>
          <w:tcPr>
            <w:tcW w:w="2410" w:type="dxa"/>
            <w:tcBorders>
              <w:top w:val="single" w:sz="4" w:space="0" w:color="auto"/>
              <w:left w:val="single" w:sz="4" w:space="0" w:color="auto"/>
              <w:bottom w:val="nil"/>
              <w:right w:val="nil"/>
            </w:tcBorders>
            <w:shd w:val="clear" w:color="000000" w:fill="548DD4"/>
            <w:vAlign w:val="center"/>
            <w:hideMark/>
          </w:tcPr>
          <w:p w14:paraId="75D4F2E7"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Износ</w:t>
            </w:r>
          </w:p>
        </w:tc>
        <w:tc>
          <w:tcPr>
            <w:tcW w:w="1701" w:type="dxa"/>
            <w:tcBorders>
              <w:top w:val="single" w:sz="4" w:space="0" w:color="auto"/>
              <w:left w:val="single" w:sz="4" w:space="0" w:color="auto"/>
              <w:bottom w:val="nil"/>
              <w:right w:val="single" w:sz="4" w:space="0" w:color="auto"/>
            </w:tcBorders>
            <w:shd w:val="clear" w:color="000000" w:fill="548DD4"/>
            <w:vAlign w:val="center"/>
            <w:hideMark/>
          </w:tcPr>
          <w:p w14:paraId="0577807B"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Износ</w:t>
            </w:r>
          </w:p>
        </w:tc>
      </w:tr>
      <w:tr w:rsidR="00900F10" w:rsidRPr="00900F10" w14:paraId="7D55366C" w14:textId="77777777" w:rsidTr="00900F10">
        <w:trPr>
          <w:trHeight w:val="315"/>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A42FF3D" w14:textId="77777777" w:rsidR="00900F10" w:rsidRPr="00900F10" w:rsidRDefault="00900F10" w:rsidP="00900F10">
            <w:pPr>
              <w:jc w:val="left"/>
              <w:rPr>
                <w:rFonts w:ascii="Calibri" w:hAnsi="Calibri"/>
                <w:b/>
                <w:bCs/>
                <w:sz w:val="20"/>
                <w:szCs w:val="20"/>
              </w:rPr>
            </w:pPr>
          </w:p>
        </w:tc>
        <w:tc>
          <w:tcPr>
            <w:tcW w:w="3827" w:type="dxa"/>
            <w:vMerge/>
            <w:tcBorders>
              <w:top w:val="single" w:sz="4" w:space="0" w:color="auto"/>
              <w:left w:val="single" w:sz="4" w:space="0" w:color="auto"/>
              <w:bottom w:val="single" w:sz="4" w:space="0" w:color="auto"/>
              <w:right w:val="nil"/>
            </w:tcBorders>
            <w:vAlign w:val="center"/>
            <w:hideMark/>
          </w:tcPr>
          <w:p w14:paraId="1746916B" w14:textId="77777777" w:rsidR="00900F10" w:rsidRPr="00900F10" w:rsidRDefault="00900F10" w:rsidP="00900F10">
            <w:pPr>
              <w:jc w:val="left"/>
              <w:rPr>
                <w:rFonts w:ascii="Calibri" w:hAnsi="Calibri"/>
                <w:b/>
                <w:bCs/>
                <w:sz w:val="20"/>
                <w:szCs w:val="20"/>
              </w:rPr>
            </w:pPr>
          </w:p>
        </w:tc>
        <w:tc>
          <w:tcPr>
            <w:tcW w:w="2410" w:type="dxa"/>
            <w:tcBorders>
              <w:top w:val="nil"/>
              <w:left w:val="single" w:sz="4" w:space="0" w:color="auto"/>
              <w:bottom w:val="single" w:sz="4" w:space="0" w:color="auto"/>
              <w:right w:val="nil"/>
            </w:tcBorders>
            <w:shd w:val="clear" w:color="000000" w:fill="548DD4"/>
            <w:vAlign w:val="center"/>
            <w:hideMark/>
          </w:tcPr>
          <w:p w14:paraId="09456993"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кредита</w:t>
            </w:r>
          </w:p>
        </w:tc>
        <w:tc>
          <w:tcPr>
            <w:tcW w:w="1701" w:type="dxa"/>
            <w:tcBorders>
              <w:top w:val="nil"/>
              <w:left w:val="single" w:sz="4" w:space="0" w:color="auto"/>
              <w:bottom w:val="single" w:sz="4" w:space="0" w:color="auto"/>
              <w:right w:val="single" w:sz="4" w:space="0" w:color="auto"/>
            </w:tcBorders>
            <w:shd w:val="clear" w:color="000000" w:fill="548DD4"/>
            <w:vAlign w:val="center"/>
            <w:hideMark/>
          </w:tcPr>
          <w:p w14:paraId="46EFEC9E"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гаранције</w:t>
            </w:r>
          </w:p>
        </w:tc>
      </w:tr>
      <w:tr w:rsidR="00900F10" w:rsidRPr="00900F10" w14:paraId="5A1F9FC1" w14:textId="77777777" w:rsidTr="00900F10">
        <w:trPr>
          <w:trHeight w:val="35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915C2F2" w14:textId="77777777" w:rsidR="00900F10" w:rsidRPr="00900F10" w:rsidRDefault="00900F10" w:rsidP="00900F10">
            <w:pPr>
              <w:jc w:val="center"/>
              <w:rPr>
                <w:rFonts w:ascii="Calibri" w:hAnsi="Calibri"/>
                <w:sz w:val="20"/>
                <w:szCs w:val="20"/>
              </w:rPr>
            </w:pPr>
            <w:r w:rsidRPr="00900F10">
              <w:rPr>
                <w:rFonts w:ascii="Calibri" w:hAnsi="Calibri"/>
                <w:sz w:val="20"/>
                <w:szCs w:val="20"/>
              </w:rPr>
              <w:t>1.</w:t>
            </w:r>
          </w:p>
        </w:tc>
        <w:tc>
          <w:tcPr>
            <w:tcW w:w="3827" w:type="dxa"/>
            <w:tcBorders>
              <w:top w:val="nil"/>
              <w:left w:val="nil"/>
              <w:bottom w:val="single" w:sz="4" w:space="0" w:color="auto"/>
              <w:right w:val="single" w:sz="4" w:space="0" w:color="auto"/>
            </w:tcBorders>
            <w:shd w:val="clear" w:color="000000" w:fill="FFFFFF"/>
            <w:vAlign w:val="center"/>
            <w:hideMark/>
          </w:tcPr>
          <w:p w14:paraId="62E4A58A" w14:textId="77777777" w:rsidR="00900F10" w:rsidRPr="00900F10" w:rsidRDefault="00900F10" w:rsidP="00900F10">
            <w:pPr>
              <w:rPr>
                <w:rFonts w:ascii="Calibri" w:hAnsi="Calibri"/>
                <w:sz w:val="20"/>
                <w:szCs w:val="20"/>
              </w:rPr>
            </w:pPr>
            <w:r w:rsidRPr="00900F10">
              <w:rPr>
                <w:rFonts w:ascii="Calibri" w:hAnsi="Calibri"/>
                <w:sz w:val="20"/>
                <w:szCs w:val="20"/>
              </w:rPr>
              <w:t>Приједорпутеви а.д. Приједор</w:t>
            </w:r>
          </w:p>
        </w:tc>
        <w:tc>
          <w:tcPr>
            <w:tcW w:w="2410" w:type="dxa"/>
            <w:tcBorders>
              <w:top w:val="nil"/>
              <w:left w:val="nil"/>
              <w:bottom w:val="single" w:sz="4" w:space="0" w:color="auto"/>
              <w:right w:val="single" w:sz="4" w:space="0" w:color="auto"/>
            </w:tcBorders>
            <w:shd w:val="clear" w:color="000000" w:fill="FFFFFF"/>
            <w:vAlign w:val="center"/>
            <w:hideMark/>
          </w:tcPr>
          <w:p w14:paraId="78AF80FC" w14:textId="77777777" w:rsidR="00900F10" w:rsidRPr="00900F10" w:rsidRDefault="00900F10" w:rsidP="00900F10">
            <w:pPr>
              <w:jc w:val="right"/>
              <w:rPr>
                <w:rFonts w:ascii="Calibri" w:hAnsi="Calibri"/>
                <w:sz w:val="20"/>
                <w:szCs w:val="20"/>
              </w:rPr>
            </w:pPr>
            <w:r w:rsidRPr="00900F10">
              <w:rPr>
                <w:rFonts w:ascii="Calibri" w:hAnsi="Calibri"/>
                <w:sz w:val="20"/>
                <w:szCs w:val="20"/>
              </w:rPr>
              <w:t>2.600.000,00</w:t>
            </w:r>
          </w:p>
        </w:tc>
        <w:tc>
          <w:tcPr>
            <w:tcW w:w="1701" w:type="dxa"/>
            <w:tcBorders>
              <w:top w:val="nil"/>
              <w:left w:val="nil"/>
              <w:bottom w:val="single" w:sz="4" w:space="0" w:color="auto"/>
              <w:right w:val="single" w:sz="4" w:space="0" w:color="auto"/>
            </w:tcBorders>
            <w:shd w:val="clear" w:color="000000" w:fill="FFFFFF"/>
            <w:vAlign w:val="center"/>
            <w:hideMark/>
          </w:tcPr>
          <w:p w14:paraId="7FF44C4A" w14:textId="77777777" w:rsidR="00900F10" w:rsidRPr="00900F10" w:rsidRDefault="00900F10" w:rsidP="00900F10">
            <w:pPr>
              <w:jc w:val="right"/>
              <w:rPr>
                <w:rFonts w:ascii="Calibri" w:hAnsi="Calibri"/>
                <w:sz w:val="20"/>
                <w:szCs w:val="20"/>
              </w:rPr>
            </w:pPr>
            <w:r w:rsidRPr="00900F10">
              <w:rPr>
                <w:rFonts w:ascii="Calibri" w:hAnsi="Calibri"/>
                <w:sz w:val="20"/>
                <w:szCs w:val="20"/>
              </w:rPr>
              <w:t>1.300.000,00</w:t>
            </w:r>
          </w:p>
        </w:tc>
      </w:tr>
      <w:tr w:rsidR="00900F10" w:rsidRPr="00900F10" w14:paraId="72BE51E0" w14:textId="77777777" w:rsidTr="00900F10">
        <w:trPr>
          <w:trHeight w:val="26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A40861C" w14:textId="77777777" w:rsidR="00900F10" w:rsidRPr="00900F10" w:rsidRDefault="00900F10" w:rsidP="00900F10">
            <w:pPr>
              <w:jc w:val="center"/>
              <w:rPr>
                <w:rFonts w:ascii="Calibri" w:hAnsi="Calibri"/>
                <w:sz w:val="20"/>
                <w:szCs w:val="20"/>
              </w:rPr>
            </w:pPr>
            <w:r w:rsidRPr="00900F10">
              <w:rPr>
                <w:rFonts w:ascii="Calibri" w:hAnsi="Calibri"/>
                <w:sz w:val="20"/>
                <w:szCs w:val="20"/>
              </w:rPr>
              <w:t>2.</w:t>
            </w:r>
          </w:p>
        </w:tc>
        <w:tc>
          <w:tcPr>
            <w:tcW w:w="3827" w:type="dxa"/>
            <w:tcBorders>
              <w:top w:val="nil"/>
              <w:left w:val="nil"/>
              <w:bottom w:val="single" w:sz="4" w:space="0" w:color="auto"/>
              <w:right w:val="single" w:sz="4" w:space="0" w:color="auto"/>
            </w:tcBorders>
            <w:shd w:val="clear" w:color="000000" w:fill="FFFFFF"/>
            <w:vAlign w:val="center"/>
            <w:hideMark/>
          </w:tcPr>
          <w:p w14:paraId="68658F3A" w14:textId="77777777" w:rsidR="00900F10" w:rsidRPr="00900F10" w:rsidRDefault="00900F10" w:rsidP="00900F10">
            <w:pPr>
              <w:rPr>
                <w:rFonts w:ascii="Calibri" w:hAnsi="Calibri"/>
                <w:sz w:val="20"/>
                <w:szCs w:val="20"/>
              </w:rPr>
            </w:pPr>
            <w:r w:rsidRPr="00900F10">
              <w:rPr>
                <w:rFonts w:ascii="Calibri" w:hAnsi="Calibri"/>
                <w:sz w:val="20"/>
                <w:szCs w:val="20"/>
              </w:rPr>
              <w:t>Матађони вл. Бркић Александар с.п.</w:t>
            </w:r>
          </w:p>
        </w:tc>
        <w:tc>
          <w:tcPr>
            <w:tcW w:w="2410" w:type="dxa"/>
            <w:tcBorders>
              <w:top w:val="nil"/>
              <w:left w:val="nil"/>
              <w:bottom w:val="single" w:sz="4" w:space="0" w:color="auto"/>
              <w:right w:val="single" w:sz="4" w:space="0" w:color="auto"/>
            </w:tcBorders>
            <w:shd w:val="clear" w:color="000000" w:fill="FFFFFF"/>
            <w:vAlign w:val="center"/>
            <w:hideMark/>
          </w:tcPr>
          <w:p w14:paraId="1B34809C" w14:textId="77777777" w:rsidR="00900F10" w:rsidRPr="00900F10" w:rsidRDefault="00900F10" w:rsidP="00900F10">
            <w:pPr>
              <w:jc w:val="right"/>
              <w:rPr>
                <w:rFonts w:ascii="Calibri" w:hAnsi="Calibri"/>
                <w:sz w:val="20"/>
                <w:szCs w:val="20"/>
              </w:rPr>
            </w:pPr>
            <w:r w:rsidRPr="00900F10">
              <w:rPr>
                <w:rFonts w:ascii="Calibri" w:hAnsi="Calibri"/>
                <w:sz w:val="20"/>
                <w:szCs w:val="20"/>
              </w:rPr>
              <w:t>200.000,00</w:t>
            </w:r>
          </w:p>
        </w:tc>
        <w:tc>
          <w:tcPr>
            <w:tcW w:w="1701" w:type="dxa"/>
            <w:tcBorders>
              <w:top w:val="nil"/>
              <w:left w:val="nil"/>
              <w:bottom w:val="single" w:sz="4" w:space="0" w:color="auto"/>
              <w:right w:val="single" w:sz="4" w:space="0" w:color="auto"/>
            </w:tcBorders>
            <w:shd w:val="clear" w:color="000000" w:fill="FFFFFF"/>
            <w:vAlign w:val="center"/>
            <w:hideMark/>
          </w:tcPr>
          <w:p w14:paraId="4836A0A9" w14:textId="77777777" w:rsidR="00900F10" w:rsidRPr="00900F10" w:rsidRDefault="00900F10" w:rsidP="00900F10">
            <w:pPr>
              <w:jc w:val="right"/>
              <w:rPr>
                <w:rFonts w:ascii="Calibri" w:hAnsi="Calibri"/>
                <w:sz w:val="20"/>
                <w:szCs w:val="20"/>
              </w:rPr>
            </w:pPr>
            <w:r w:rsidRPr="00900F10">
              <w:rPr>
                <w:rFonts w:ascii="Calibri" w:hAnsi="Calibri"/>
                <w:sz w:val="20"/>
                <w:szCs w:val="20"/>
              </w:rPr>
              <w:t>100.000,00</w:t>
            </w:r>
          </w:p>
        </w:tc>
      </w:tr>
      <w:tr w:rsidR="00900F10" w:rsidRPr="00900F10" w14:paraId="1BD3797F" w14:textId="77777777" w:rsidTr="00900F10">
        <w:trPr>
          <w:trHeight w:val="282"/>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A580074" w14:textId="77777777" w:rsidR="00900F10" w:rsidRPr="00900F10" w:rsidRDefault="00900F10" w:rsidP="00900F10">
            <w:pPr>
              <w:jc w:val="center"/>
              <w:rPr>
                <w:rFonts w:ascii="Calibri" w:hAnsi="Calibri"/>
                <w:sz w:val="20"/>
                <w:szCs w:val="20"/>
              </w:rPr>
            </w:pPr>
            <w:r w:rsidRPr="00900F10">
              <w:rPr>
                <w:rFonts w:ascii="Calibri" w:hAnsi="Calibri"/>
                <w:sz w:val="20"/>
                <w:szCs w:val="20"/>
              </w:rPr>
              <w:t>3.</w:t>
            </w:r>
          </w:p>
        </w:tc>
        <w:tc>
          <w:tcPr>
            <w:tcW w:w="3827" w:type="dxa"/>
            <w:tcBorders>
              <w:top w:val="nil"/>
              <w:left w:val="nil"/>
              <w:bottom w:val="single" w:sz="4" w:space="0" w:color="auto"/>
              <w:right w:val="single" w:sz="4" w:space="0" w:color="auto"/>
            </w:tcBorders>
            <w:shd w:val="clear" w:color="000000" w:fill="FFFFFF"/>
            <w:vAlign w:val="center"/>
            <w:hideMark/>
          </w:tcPr>
          <w:p w14:paraId="6D162234" w14:textId="77777777" w:rsidR="00900F10" w:rsidRPr="00900F10" w:rsidRDefault="00900F10" w:rsidP="00900F10">
            <w:pPr>
              <w:rPr>
                <w:rFonts w:ascii="Calibri" w:hAnsi="Calibri"/>
                <w:sz w:val="20"/>
                <w:szCs w:val="20"/>
              </w:rPr>
            </w:pPr>
            <w:r w:rsidRPr="00900F10">
              <w:rPr>
                <w:rFonts w:ascii="Calibri" w:hAnsi="Calibri"/>
                <w:sz w:val="20"/>
                <w:szCs w:val="20"/>
              </w:rPr>
              <w:t>Тимарац Слободанка</w:t>
            </w:r>
          </w:p>
        </w:tc>
        <w:tc>
          <w:tcPr>
            <w:tcW w:w="2410" w:type="dxa"/>
            <w:tcBorders>
              <w:top w:val="nil"/>
              <w:left w:val="nil"/>
              <w:bottom w:val="single" w:sz="4" w:space="0" w:color="auto"/>
              <w:right w:val="single" w:sz="4" w:space="0" w:color="auto"/>
            </w:tcBorders>
            <w:shd w:val="clear" w:color="000000" w:fill="FFFFFF"/>
            <w:vAlign w:val="center"/>
            <w:hideMark/>
          </w:tcPr>
          <w:p w14:paraId="052B0A59"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w:t>
            </w:r>
          </w:p>
        </w:tc>
        <w:tc>
          <w:tcPr>
            <w:tcW w:w="1701" w:type="dxa"/>
            <w:tcBorders>
              <w:top w:val="nil"/>
              <w:left w:val="nil"/>
              <w:bottom w:val="single" w:sz="4" w:space="0" w:color="auto"/>
              <w:right w:val="single" w:sz="4" w:space="0" w:color="auto"/>
            </w:tcBorders>
            <w:shd w:val="clear" w:color="000000" w:fill="FFFFFF"/>
            <w:vAlign w:val="center"/>
            <w:hideMark/>
          </w:tcPr>
          <w:p w14:paraId="5F38A9B5" w14:textId="77777777" w:rsidR="00900F10" w:rsidRPr="00900F10" w:rsidRDefault="00900F10" w:rsidP="00900F10">
            <w:pPr>
              <w:jc w:val="right"/>
              <w:rPr>
                <w:rFonts w:ascii="Calibri" w:hAnsi="Calibri"/>
                <w:sz w:val="20"/>
                <w:szCs w:val="20"/>
              </w:rPr>
            </w:pPr>
            <w:r w:rsidRPr="00900F10">
              <w:rPr>
                <w:rFonts w:ascii="Calibri" w:hAnsi="Calibri"/>
                <w:sz w:val="20"/>
                <w:szCs w:val="20"/>
              </w:rPr>
              <w:t>30.000,00</w:t>
            </w:r>
          </w:p>
        </w:tc>
      </w:tr>
      <w:tr w:rsidR="00900F10" w:rsidRPr="00900F10" w14:paraId="443CDB02"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AE8B077" w14:textId="77777777" w:rsidR="00900F10" w:rsidRPr="00900F10" w:rsidRDefault="00900F10" w:rsidP="00900F10">
            <w:pPr>
              <w:jc w:val="center"/>
              <w:rPr>
                <w:rFonts w:ascii="Calibri" w:hAnsi="Calibri"/>
                <w:sz w:val="20"/>
                <w:szCs w:val="20"/>
              </w:rPr>
            </w:pPr>
            <w:r w:rsidRPr="00900F10">
              <w:rPr>
                <w:rFonts w:ascii="Calibri" w:hAnsi="Calibri"/>
                <w:sz w:val="20"/>
                <w:szCs w:val="20"/>
              </w:rPr>
              <w:t>4.</w:t>
            </w:r>
          </w:p>
        </w:tc>
        <w:tc>
          <w:tcPr>
            <w:tcW w:w="3827" w:type="dxa"/>
            <w:tcBorders>
              <w:top w:val="nil"/>
              <w:left w:val="nil"/>
              <w:bottom w:val="single" w:sz="4" w:space="0" w:color="auto"/>
              <w:right w:val="single" w:sz="4" w:space="0" w:color="auto"/>
            </w:tcBorders>
            <w:shd w:val="clear" w:color="000000" w:fill="FFFFFF"/>
            <w:vAlign w:val="center"/>
            <w:hideMark/>
          </w:tcPr>
          <w:p w14:paraId="6BC688F7" w14:textId="77777777" w:rsidR="00900F10" w:rsidRPr="00900F10" w:rsidRDefault="00900F10" w:rsidP="00900F10">
            <w:pPr>
              <w:rPr>
                <w:rFonts w:ascii="Calibri" w:hAnsi="Calibri"/>
                <w:sz w:val="20"/>
                <w:szCs w:val="20"/>
              </w:rPr>
            </w:pPr>
            <w:r w:rsidRPr="00900F10">
              <w:rPr>
                <w:rFonts w:ascii="Calibri" w:hAnsi="Calibri"/>
                <w:sz w:val="20"/>
                <w:szCs w:val="20"/>
              </w:rPr>
              <w:t>ЗУ Специјалистички центар Mediccare</w:t>
            </w:r>
          </w:p>
        </w:tc>
        <w:tc>
          <w:tcPr>
            <w:tcW w:w="2410" w:type="dxa"/>
            <w:tcBorders>
              <w:top w:val="nil"/>
              <w:left w:val="nil"/>
              <w:bottom w:val="single" w:sz="4" w:space="0" w:color="auto"/>
              <w:right w:val="single" w:sz="4" w:space="0" w:color="auto"/>
            </w:tcBorders>
            <w:shd w:val="clear" w:color="000000" w:fill="FFFFFF"/>
            <w:vAlign w:val="center"/>
            <w:hideMark/>
          </w:tcPr>
          <w:p w14:paraId="3A814D5D" w14:textId="77777777" w:rsidR="00900F10" w:rsidRPr="00900F10" w:rsidRDefault="00900F10" w:rsidP="00900F10">
            <w:pPr>
              <w:jc w:val="right"/>
              <w:rPr>
                <w:rFonts w:ascii="Calibri" w:hAnsi="Calibri"/>
                <w:sz w:val="20"/>
                <w:szCs w:val="20"/>
              </w:rPr>
            </w:pPr>
            <w:r w:rsidRPr="00900F10">
              <w:rPr>
                <w:rFonts w:ascii="Calibri" w:hAnsi="Calibri"/>
                <w:sz w:val="20"/>
                <w:szCs w:val="20"/>
              </w:rPr>
              <w:t>300.000,00</w:t>
            </w:r>
          </w:p>
        </w:tc>
        <w:tc>
          <w:tcPr>
            <w:tcW w:w="1701" w:type="dxa"/>
            <w:tcBorders>
              <w:top w:val="nil"/>
              <w:left w:val="nil"/>
              <w:bottom w:val="single" w:sz="4" w:space="0" w:color="auto"/>
              <w:right w:val="single" w:sz="4" w:space="0" w:color="auto"/>
            </w:tcBorders>
            <w:shd w:val="clear" w:color="000000" w:fill="FFFFFF"/>
            <w:vAlign w:val="center"/>
            <w:hideMark/>
          </w:tcPr>
          <w:p w14:paraId="0D81B657"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r>
      <w:tr w:rsidR="00900F10" w:rsidRPr="00900F10" w14:paraId="2F75F08A"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DAAA66D" w14:textId="77777777" w:rsidR="00900F10" w:rsidRPr="00900F10" w:rsidRDefault="00900F10" w:rsidP="00900F10">
            <w:pPr>
              <w:jc w:val="center"/>
              <w:rPr>
                <w:rFonts w:ascii="Calibri" w:hAnsi="Calibri"/>
                <w:sz w:val="20"/>
                <w:szCs w:val="20"/>
              </w:rPr>
            </w:pPr>
            <w:r w:rsidRPr="00900F10">
              <w:rPr>
                <w:rFonts w:ascii="Calibri" w:hAnsi="Calibri"/>
                <w:sz w:val="20"/>
                <w:szCs w:val="20"/>
              </w:rPr>
              <w:t>5.</w:t>
            </w:r>
          </w:p>
        </w:tc>
        <w:tc>
          <w:tcPr>
            <w:tcW w:w="3827" w:type="dxa"/>
            <w:tcBorders>
              <w:top w:val="nil"/>
              <w:left w:val="nil"/>
              <w:bottom w:val="single" w:sz="4" w:space="0" w:color="auto"/>
              <w:right w:val="single" w:sz="4" w:space="0" w:color="auto"/>
            </w:tcBorders>
            <w:shd w:val="clear" w:color="000000" w:fill="FFFFFF"/>
            <w:vAlign w:val="center"/>
            <w:hideMark/>
          </w:tcPr>
          <w:p w14:paraId="46BFA779" w14:textId="77777777" w:rsidR="00900F10" w:rsidRPr="00900F10" w:rsidRDefault="00900F10" w:rsidP="00900F10">
            <w:pPr>
              <w:rPr>
                <w:rFonts w:ascii="Calibri" w:hAnsi="Calibri"/>
                <w:sz w:val="20"/>
                <w:szCs w:val="20"/>
              </w:rPr>
            </w:pPr>
            <w:r w:rsidRPr="00900F10">
              <w:rPr>
                <w:rFonts w:ascii="Calibri" w:hAnsi="Calibri"/>
                <w:sz w:val="20"/>
                <w:szCs w:val="20"/>
              </w:rPr>
              <w:t>ДДМС д.о.о. Бараћи</w:t>
            </w:r>
          </w:p>
        </w:tc>
        <w:tc>
          <w:tcPr>
            <w:tcW w:w="2410" w:type="dxa"/>
            <w:tcBorders>
              <w:top w:val="nil"/>
              <w:left w:val="nil"/>
              <w:bottom w:val="single" w:sz="4" w:space="0" w:color="auto"/>
              <w:right w:val="single" w:sz="4" w:space="0" w:color="auto"/>
            </w:tcBorders>
            <w:shd w:val="clear" w:color="000000" w:fill="FFFFFF"/>
            <w:vAlign w:val="center"/>
            <w:hideMark/>
          </w:tcPr>
          <w:p w14:paraId="41889ACF" w14:textId="77777777" w:rsidR="00900F10" w:rsidRPr="00900F10" w:rsidRDefault="00900F10" w:rsidP="00900F10">
            <w:pPr>
              <w:jc w:val="right"/>
              <w:rPr>
                <w:rFonts w:ascii="Calibri" w:hAnsi="Calibri"/>
                <w:sz w:val="20"/>
                <w:szCs w:val="20"/>
              </w:rPr>
            </w:pPr>
            <w:r w:rsidRPr="00900F10">
              <w:rPr>
                <w:rFonts w:ascii="Calibri" w:hAnsi="Calibri"/>
                <w:sz w:val="20"/>
                <w:szCs w:val="20"/>
              </w:rPr>
              <w:t>280.000,00</w:t>
            </w:r>
          </w:p>
        </w:tc>
        <w:tc>
          <w:tcPr>
            <w:tcW w:w="1701" w:type="dxa"/>
            <w:tcBorders>
              <w:top w:val="nil"/>
              <w:left w:val="nil"/>
              <w:bottom w:val="single" w:sz="4" w:space="0" w:color="auto"/>
              <w:right w:val="single" w:sz="4" w:space="0" w:color="auto"/>
            </w:tcBorders>
            <w:shd w:val="clear" w:color="000000" w:fill="FFFFFF"/>
            <w:vAlign w:val="center"/>
            <w:hideMark/>
          </w:tcPr>
          <w:p w14:paraId="30A7C67A" w14:textId="77777777" w:rsidR="00900F10" w:rsidRPr="00900F10" w:rsidRDefault="00900F10" w:rsidP="00900F10">
            <w:pPr>
              <w:jc w:val="right"/>
              <w:rPr>
                <w:rFonts w:ascii="Calibri" w:hAnsi="Calibri"/>
                <w:sz w:val="20"/>
                <w:szCs w:val="20"/>
              </w:rPr>
            </w:pPr>
            <w:r w:rsidRPr="00900F10">
              <w:rPr>
                <w:rFonts w:ascii="Calibri" w:hAnsi="Calibri"/>
                <w:sz w:val="20"/>
                <w:szCs w:val="20"/>
              </w:rPr>
              <w:t>80.528,00</w:t>
            </w:r>
          </w:p>
        </w:tc>
      </w:tr>
      <w:tr w:rsidR="00900F10" w:rsidRPr="00900F10" w14:paraId="0DD2BC72" w14:textId="77777777" w:rsidTr="00900F10">
        <w:trPr>
          <w:trHeight w:val="36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A99BD24" w14:textId="77777777" w:rsidR="00900F10" w:rsidRPr="00900F10" w:rsidRDefault="00900F10" w:rsidP="00900F10">
            <w:pPr>
              <w:jc w:val="center"/>
              <w:rPr>
                <w:rFonts w:ascii="Calibri" w:hAnsi="Calibri"/>
                <w:sz w:val="20"/>
                <w:szCs w:val="20"/>
              </w:rPr>
            </w:pPr>
            <w:r w:rsidRPr="00900F10">
              <w:rPr>
                <w:rFonts w:ascii="Calibri" w:hAnsi="Calibri"/>
                <w:sz w:val="20"/>
                <w:szCs w:val="20"/>
              </w:rPr>
              <w:t>6.</w:t>
            </w:r>
          </w:p>
        </w:tc>
        <w:tc>
          <w:tcPr>
            <w:tcW w:w="3827" w:type="dxa"/>
            <w:tcBorders>
              <w:top w:val="nil"/>
              <w:left w:val="nil"/>
              <w:bottom w:val="single" w:sz="4" w:space="0" w:color="auto"/>
              <w:right w:val="single" w:sz="4" w:space="0" w:color="auto"/>
            </w:tcBorders>
            <w:shd w:val="clear" w:color="000000" w:fill="FFFFFF"/>
            <w:vAlign w:val="center"/>
            <w:hideMark/>
          </w:tcPr>
          <w:p w14:paraId="56F9F434" w14:textId="77777777" w:rsidR="00900F10" w:rsidRPr="00900F10" w:rsidRDefault="00900F10" w:rsidP="00900F10">
            <w:pPr>
              <w:rPr>
                <w:rFonts w:ascii="Calibri" w:hAnsi="Calibri"/>
                <w:sz w:val="20"/>
                <w:szCs w:val="20"/>
              </w:rPr>
            </w:pPr>
            <w:r w:rsidRPr="00900F10">
              <w:rPr>
                <w:rFonts w:ascii="Calibri" w:hAnsi="Calibri"/>
                <w:sz w:val="20"/>
                <w:szCs w:val="20"/>
              </w:rPr>
              <w:t>Дрвна индустрија Шипово д.о.о. Шипово</w:t>
            </w:r>
          </w:p>
        </w:tc>
        <w:tc>
          <w:tcPr>
            <w:tcW w:w="2410" w:type="dxa"/>
            <w:tcBorders>
              <w:top w:val="nil"/>
              <w:left w:val="nil"/>
              <w:bottom w:val="single" w:sz="4" w:space="0" w:color="auto"/>
              <w:right w:val="single" w:sz="4" w:space="0" w:color="auto"/>
            </w:tcBorders>
            <w:shd w:val="clear" w:color="000000" w:fill="FFFFFF"/>
            <w:vAlign w:val="center"/>
            <w:hideMark/>
          </w:tcPr>
          <w:p w14:paraId="4E1A5ED5"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c>
          <w:tcPr>
            <w:tcW w:w="1701" w:type="dxa"/>
            <w:tcBorders>
              <w:top w:val="nil"/>
              <w:left w:val="nil"/>
              <w:bottom w:val="single" w:sz="4" w:space="0" w:color="auto"/>
              <w:right w:val="single" w:sz="4" w:space="0" w:color="auto"/>
            </w:tcBorders>
            <w:shd w:val="clear" w:color="000000" w:fill="FFFFFF"/>
            <w:vAlign w:val="center"/>
            <w:hideMark/>
          </w:tcPr>
          <w:p w14:paraId="64B4F974" w14:textId="77777777" w:rsidR="00900F10" w:rsidRPr="00900F10" w:rsidRDefault="00900F10" w:rsidP="00900F10">
            <w:pPr>
              <w:jc w:val="right"/>
              <w:rPr>
                <w:rFonts w:ascii="Calibri" w:hAnsi="Calibri"/>
                <w:sz w:val="20"/>
                <w:szCs w:val="20"/>
              </w:rPr>
            </w:pPr>
            <w:r w:rsidRPr="00900F10">
              <w:rPr>
                <w:rFonts w:ascii="Calibri" w:hAnsi="Calibri"/>
                <w:sz w:val="20"/>
                <w:szCs w:val="20"/>
              </w:rPr>
              <w:t>75.000,00</w:t>
            </w:r>
          </w:p>
        </w:tc>
      </w:tr>
      <w:tr w:rsidR="00900F10" w:rsidRPr="00900F10" w14:paraId="2E1A1E10"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8942B11" w14:textId="77777777" w:rsidR="00900F10" w:rsidRPr="00900F10" w:rsidRDefault="00900F10" w:rsidP="00900F10">
            <w:pPr>
              <w:jc w:val="center"/>
              <w:rPr>
                <w:rFonts w:ascii="Calibri" w:hAnsi="Calibri"/>
                <w:sz w:val="20"/>
                <w:szCs w:val="20"/>
              </w:rPr>
            </w:pPr>
            <w:r w:rsidRPr="00900F10">
              <w:rPr>
                <w:rFonts w:ascii="Calibri" w:hAnsi="Calibri"/>
                <w:sz w:val="20"/>
                <w:szCs w:val="20"/>
              </w:rPr>
              <w:t>7.</w:t>
            </w:r>
          </w:p>
        </w:tc>
        <w:tc>
          <w:tcPr>
            <w:tcW w:w="3827" w:type="dxa"/>
            <w:tcBorders>
              <w:top w:val="nil"/>
              <w:left w:val="nil"/>
              <w:bottom w:val="single" w:sz="4" w:space="0" w:color="auto"/>
              <w:right w:val="single" w:sz="4" w:space="0" w:color="auto"/>
            </w:tcBorders>
            <w:shd w:val="clear" w:color="000000" w:fill="FFFFFF"/>
            <w:vAlign w:val="center"/>
            <w:hideMark/>
          </w:tcPr>
          <w:p w14:paraId="17451A39" w14:textId="77777777" w:rsidR="00900F10" w:rsidRPr="00900F10" w:rsidRDefault="00900F10" w:rsidP="00900F10">
            <w:pPr>
              <w:rPr>
                <w:rFonts w:ascii="Calibri" w:hAnsi="Calibri"/>
                <w:sz w:val="20"/>
                <w:szCs w:val="20"/>
              </w:rPr>
            </w:pPr>
            <w:r w:rsidRPr="00900F10">
              <w:rPr>
                <w:rFonts w:ascii="Calibri" w:hAnsi="Calibri"/>
                <w:sz w:val="20"/>
                <w:szCs w:val="20"/>
              </w:rPr>
              <w:t>ТКТ д.о.о. Приједор</w:t>
            </w:r>
          </w:p>
        </w:tc>
        <w:tc>
          <w:tcPr>
            <w:tcW w:w="2410" w:type="dxa"/>
            <w:tcBorders>
              <w:top w:val="nil"/>
              <w:left w:val="nil"/>
              <w:bottom w:val="single" w:sz="4" w:space="0" w:color="auto"/>
              <w:right w:val="single" w:sz="4" w:space="0" w:color="auto"/>
            </w:tcBorders>
            <w:shd w:val="clear" w:color="000000" w:fill="FFFFFF"/>
            <w:vAlign w:val="center"/>
            <w:hideMark/>
          </w:tcPr>
          <w:p w14:paraId="510BB786" w14:textId="77777777" w:rsidR="00900F10" w:rsidRPr="00900F10" w:rsidRDefault="00900F10" w:rsidP="00900F10">
            <w:pPr>
              <w:jc w:val="right"/>
              <w:rPr>
                <w:rFonts w:ascii="Calibri" w:hAnsi="Calibri"/>
                <w:sz w:val="20"/>
                <w:szCs w:val="20"/>
              </w:rPr>
            </w:pPr>
            <w:r w:rsidRPr="00900F10">
              <w:rPr>
                <w:rFonts w:ascii="Calibri" w:hAnsi="Calibri"/>
                <w:sz w:val="20"/>
                <w:szCs w:val="20"/>
              </w:rPr>
              <w:t>120.000,00</w:t>
            </w:r>
          </w:p>
        </w:tc>
        <w:tc>
          <w:tcPr>
            <w:tcW w:w="1701" w:type="dxa"/>
            <w:tcBorders>
              <w:top w:val="nil"/>
              <w:left w:val="nil"/>
              <w:bottom w:val="single" w:sz="4" w:space="0" w:color="auto"/>
              <w:right w:val="single" w:sz="4" w:space="0" w:color="auto"/>
            </w:tcBorders>
            <w:shd w:val="clear" w:color="000000" w:fill="FFFFFF"/>
            <w:vAlign w:val="center"/>
            <w:hideMark/>
          </w:tcPr>
          <w:p w14:paraId="498C8012"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w:t>
            </w:r>
          </w:p>
        </w:tc>
      </w:tr>
      <w:tr w:rsidR="00900F10" w:rsidRPr="00900F10" w14:paraId="75C454B9"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B001864" w14:textId="77777777" w:rsidR="00900F10" w:rsidRPr="00900F10" w:rsidRDefault="00900F10" w:rsidP="00900F10">
            <w:pPr>
              <w:jc w:val="center"/>
              <w:rPr>
                <w:rFonts w:ascii="Calibri" w:hAnsi="Calibri"/>
                <w:sz w:val="20"/>
                <w:szCs w:val="20"/>
              </w:rPr>
            </w:pPr>
            <w:r w:rsidRPr="00900F10">
              <w:rPr>
                <w:rFonts w:ascii="Calibri" w:hAnsi="Calibri"/>
                <w:sz w:val="20"/>
                <w:szCs w:val="20"/>
              </w:rPr>
              <w:t>8.</w:t>
            </w:r>
          </w:p>
        </w:tc>
        <w:tc>
          <w:tcPr>
            <w:tcW w:w="3827" w:type="dxa"/>
            <w:tcBorders>
              <w:top w:val="nil"/>
              <w:left w:val="nil"/>
              <w:bottom w:val="single" w:sz="4" w:space="0" w:color="auto"/>
              <w:right w:val="single" w:sz="4" w:space="0" w:color="auto"/>
            </w:tcBorders>
            <w:shd w:val="clear" w:color="000000" w:fill="FFFFFF"/>
            <w:vAlign w:val="center"/>
            <w:hideMark/>
          </w:tcPr>
          <w:p w14:paraId="0DB4803C" w14:textId="77777777" w:rsidR="00900F10" w:rsidRPr="00900F10" w:rsidRDefault="00900F10" w:rsidP="00900F10">
            <w:pPr>
              <w:rPr>
                <w:rFonts w:ascii="Calibri" w:hAnsi="Calibri"/>
                <w:sz w:val="20"/>
                <w:szCs w:val="20"/>
              </w:rPr>
            </w:pPr>
            <w:r w:rsidRPr="00900F10">
              <w:rPr>
                <w:rFonts w:ascii="Calibri" w:hAnsi="Calibri"/>
                <w:sz w:val="20"/>
                <w:szCs w:val="20"/>
              </w:rPr>
              <w:t>Лазендић Васкрсија</w:t>
            </w:r>
          </w:p>
        </w:tc>
        <w:tc>
          <w:tcPr>
            <w:tcW w:w="2410" w:type="dxa"/>
            <w:tcBorders>
              <w:top w:val="nil"/>
              <w:left w:val="nil"/>
              <w:bottom w:val="single" w:sz="4" w:space="0" w:color="auto"/>
              <w:right w:val="single" w:sz="4" w:space="0" w:color="auto"/>
            </w:tcBorders>
            <w:shd w:val="clear" w:color="000000" w:fill="FFFFFF"/>
            <w:vAlign w:val="center"/>
            <w:hideMark/>
          </w:tcPr>
          <w:p w14:paraId="60A83159" w14:textId="77777777" w:rsidR="00900F10" w:rsidRPr="00900F10" w:rsidRDefault="00900F10" w:rsidP="00900F10">
            <w:pPr>
              <w:jc w:val="right"/>
              <w:rPr>
                <w:rFonts w:ascii="Calibri" w:hAnsi="Calibri"/>
                <w:sz w:val="20"/>
                <w:szCs w:val="20"/>
              </w:rPr>
            </w:pPr>
            <w:r w:rsidRPr="00900F10">
              <w:rPr>
                <w:rFonts w:ascii="Calibri" w:hAnsi="Calibri"/>
                <w:sz w:val="20"/>
                <w:szCs w:val="20"/>
              </w:rPr>
              <w:t>7.000,00</w:t>
            </w:r>
          </w:p>
        </w:tc>
        <w:tc>
          <w:tcPr>
            <w:tcW w:w="1701" w:type="dxa"/>
            <w:tcBorders>
              <w:top w:val="nil"/>
              <w:left w:val="nil"/>
              <w:bottom w:val="single" w:sz="4" w:space="0" w:color="auto"/>
              <w:right w:val="single" w:sz="4" w:space="0" w:color="auto"/>
            </w:tcBorders>
            <w:shd w:val="clear" w:color="000000" w:fill="FFFFFF"/>
            <w:vAlign w:val="center"/>
            <w:hideMark/>
          </w:tcPr>
          <w:p w14:paraId="2F79FBF9"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w:t>
            </w:r>
          </w:p>
        </w:tc>
      </w:tr>
      <w:tr w:rsidR="00900F10" w:rsidRPr="00900F10" w14:paraId="564CCF46"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7F3322D" w14:textId="77777777" w:rsidR="00900F10" w:rsidRPr="00900F10" w:rsidRDefault="00900F10" w:rsidP="00900F10">
            <w:pPr>
              <w:jc w:val="center"/>
              <w:rPr>
                <w:rFonts w:ascii="Calibri" w:hAnsi="Calibri"/>
                <w:sz w:val="20"/>
                <w:szCs w:val="20"/>
              </w:rPr>
            </w:pPr>
            <w:r w:rsidRPr="00900F10">
              <w:rPr>
                <w:rFonts w:ascii="Calibri" w:hAnsi="Calibri"/>
                <w:sz w:val="20"/>
                <w:szCs w:val="20"/>
              </w:rPr>
              <w:t>9.</w:t>
            </w:r>
          </w:p>
        </w:tc>
        <w:tc>
          <w:tcPr>
            <w:tcW w:w="3827" w:type="dxa"/>
            <w:tcBorders>
              <w:top w:val="nil"/>
              <w:left w:val="nil"/>
              <w:bottom w:val="single" w:sz="4" w:space="0" w:color="auto"/>
              <w:right w:val="single" w:sz="4" w:space="0" w:color="auto"/>
            </w:tcBorders>
            <w:shd w:val="clear" w:color="000000" w:fill="FFFFFF"/>
            <w:vAlign w:val="center"/>
            <w:hideMark/>
          </w:tcPr>
          <w:p w14:paraId="17D88A4B" w14:textId="77777777" w:rsidR="00900F10" w:rsidRPr="00900F10" w:rsidRDefault="00900F10" w:rsidP="00900F10">
            <w:pPr>
              <w:rPr>
                <w:rFonts w:ascii="Calibri" w:hAnsi="Calibri"/>
                <w:sz w:val="20"/>
                <w:szCs w:val="20"/>
              </w:rPr>
            </w:pPr>
            <w:r w:rsidRPr="00900F10">
              <w:rPr>
                <w:rFonts w:ascii="Calibri" w:hAnsi="Calibri"/>
                <w:sz w:val="20"/>
                <w:szCs w:val="20"/>
              </w:rPr>
              <w:t>Станковић Радивоје</w:t>
            </w:r>
          </w:p>
        </w:tc>
        <w:tc>
          <w:tcPr>
            <w:tcW w:w="2410" w:type="dxa"/>
            <w:tcBorders>
              <w:top w:val="nil"/>
              <w:left w:val="nil"/>
              <w:bottom w:val="single" w:sz="4" w:space="0" w:color="auto"/>
              <w:right w:val="single" w:sz="4" w:space="0" w:color="auto"/>
            </w:tcBorders>
            <w:shd w:val="clear" w:color="000000" w:fill="FFFFFF"/>
            <w:vAlign w:val="center"/>
            <w:hideMark/>
          </w:tcPr>
          <w:p w14:paraId="693E1D96" w14:textId="77777777" w:rsidR="00900F10" w:rsidRPr="00900F10" w:rsidRDefault="00900F10" w:rsidP="00900F10">
            <w:pPr>
              <w:jc w:val="right"/>
              <w:rPr>
                <w:rFonts w:ascii="Calibri" w:hAnsi="Calibri"/>
                <w:sz w:val="20"/>
                <w:szCs w:val="20"/>
              </w:rPr>
            </w:pPr>
            <w:r w:rsidRPr="00900F10">
              <w:rPr>
                <w:rFonts w:ascii="Calibri" w:hAnsi="Calibri"/>
                <w:sz w:val="20"/>
                <w:szCs w:val="20"/>
              </w:rPr>
              <w:t>29.900,00</w:t>
            </w:r>
          </w:p>
        </w:tc>
        <w:tc>
          <w:tcPr>
            <w:tcW w:w="1701" w:type="dxa"/>
            <w:tcBorders>
              <w:top w:val="nil"/>
              <w:left w:val="nil"/>
              <w:bottom w:val="single" w:sz="4" w:space="0" w:color="auto"/>
              <w:right w:val="single" w:sz="4" w:space="0" w:color="auto"/>
            </w:tcBorders>
            <w:shd w:val="clear" w:color="000000" w:fill="FFFFFF"/>
            <w:vAlign w:val="center"/>
            <w:hideMark/>
          </w:tcPr>
          <w:p w14:paraId="0F01E221" w14:textId="77777777" w:rsidR="00900F10" w:rsidRPr="00900F10" w:rsidRDefault="00900F10" w:rsidP="00900F10">
            <w:pPr>
              <w:jc w:val="right"/>
              <w:rPr>
                <w:rFonts w:ascii="Calibri" w:hAnsi="Calibri"/>
                <w:sz w:val="20"/>
                <w:szCs w:val="20"/>
              </w:rPr>
            </w:pPr>
            <w:r w:rsidRPr="00900F10">
              <w:rPr>
                <w:rFonts w:ascii="Calibri" w:hAnsi="Calibri"/>
                <w:sz w:val="20"/>
                <w:szCs w:val="20"/>
              </w:rPr>
              <w:t>14.950,00</w:t>
            </w:r>
          </w:p>
        </w:tc>
      </w:tr>
      <w:tr w:rsidR="00900F10" w:rsidRPr="00900F10" w14:paraId="252FBF6F"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BB88E9D" w14:textId="77777777" w:rsidR="00900F10" w:rsidRPr="00900F10" w:rsidRDefault="00900F10" w:rsidP="00900F10">
            <w:pPr>
              <w:jc w:val="center"/>
              <w:rPr>
                <w:rFonts w:ascii="Calibri" w:hAnsi="Calibri"/>
                <w:sz w:val="20"/>
                <w:szCs w:val="20"/>
              </w:rPr>
            </w:pPr>
            <w:r w:rsidRPr="00900F10">
              <w:rPr>
                <w:rFonts w:ascii="Calibri" w:hAnsi="Calibri"/>
                <w:sz w:val="20"/>
                <w:szCs w:val="20"/>
              </w:rPr>
              <w:t>10.</w:t>
            </w:r>
          </w:p>
        </w:tc>
        <w:tc>
          <w:tcPr>
            <w:tcW w:w="3827" w:type="dxa"/>
            <w:tcBorders>
              <w:top w:val="nil"/>
              <w:left w:val="nil"/>
              <w:bottom w:val="single" w:sz="4" w:space="0" w:color="auto"/>
              <w:right w:val="single" w:sz="4" w:space="0" w:color="auto"/>
            </w:tcBorders>
            <w:shd w:val="clear" w:color="000000" w:fill="FFFFFF"/>
            <w:vAlign w:val="center"/>
            <w:hideMark/>
          </w:tcPr>
          <w:p w14:paraId="5244033D" w14:textId="77777777" w:rsidR="00900F10" w:rsidRPr="00900F10" w:rsidRDefault="00900F10" w:rsidP="00900F10">
            <w:pPr>
              <w:rPr>
                <w:rFonts w:ascii="Calibri" w:hAnsi="Calibri"/>
                <w:sz w:val="20"/>
                <w:szCs w:val="20"/>
              </w:rPr>
            </w:pPr>
            <w:r w:rsidRPr="00900F10">
              <w:rPr>
                <w:rFonts w:ascii="Calibri" w:hAnsi="Calibri"/>
                <w:sz w:val="20"/>
                <w:szCs w:val="20"/>
              </w:rPr>
              <w:t>Сезона д.о.о. Фоча</w:t>
            </w:r>
          </w:p>
        </w:tc>
        <w:tc>
          <w:tcPr>
            <w:tcW w:w="2410" w:type="dxa"/>
            <w:tcBorders>
              <w:top w:val="nil"/>
              <w:left w:val="nil"/>
              <w:bottom w:val="single" w:sz="4" w:space="0" w:color="auto"/>
              <w:right w:val="single" w:sz="4" w:space="0" w:color="auto"/>
            </w:tcBorders>
            <w:shd w:val="clear" w:color="000000" w:fill="FFFFFF"/>
            <w:vAlign w:val="center"/>
            <w:hideMark/>
          </w:tcPr>
          <w:p w14:paraId="163D0BB6" w14:textId="77777777" w:rsidR="00900F10" w:rsidRPr="00900F10" w:rsidRDefault="00900F10" w:rsidP="00900F10">
            <w:pPr>
              <w:jc w:val="right"/>
              <w:rPr>
                <w:rFonts w:ascii="Calibri" w:hAnsi="Calibri"/>
                <w:sz w:val="20"/>
                <w:szCs w:val="20"/>
              </w:rPr>
            </w:pPr>
            <w:r w:rsidRPr="00900F10">
              <w:rPr>
                <w:rFonts w:ascii="Calibri" w:hAnsi="Calibri"/>
                <w:sz w:val="20"/>
                <w:szCs w:val="20"/>
              </w:rPr>
              <w:t>282.000,00</w:t>
            </w:r>
          </w:p>
        </w:tc>
        <w:tc>
          <w:tcPr>
            <w:tcW w:w="1701" w:type="dxa"/>
            <w:tcBorders>
              <w:top w:val="nil"/>
              <w:left w:val="nil"/>
              <w:bottom w:val="single" w:sz="4" w:space="0" w:color="auto"/>
              <w:right w:val="single" w:sz="4" w:space="0" w:color="auto"/>
            </w:tcBorders>
            <w:shd w:val="clear" w:color="000000" w:fill="FFFFFF"/>
            <w:vAlign w:val="center"/>
            <w:hideMark/>
          </w:tcPr>
          <w:p w14:paraId="3EF702B5" w14:textId="77777777" w:rsidR="00900F10" w:rsidRPr="00900F10" w:rsidRDefault="00900F10" w:rsidP="00900F10">
            <w:pPr>
              <w:jc w:val="right"/>
              <w:rPr>
                <w:rFonts w:ascii="Calibri" w:hAnsi="Calibri"/>
                <w:sz w:val="20"/>
                <w:szCs w:val="20"/>
              </w:rPr>
            </w:pPr>
            <w:r w:rsidRPr="00900F10">
              <w:rPr>
                <w:rFonts w:ascii="Calibri" w:hAnsi="Calibri"/>
                <w:sz w:val="20"/>
                <w:szCs w:val="20"/>
              </w:rPr>
              <w:t>141.000,00</w:t>
            </w:r>
          </w:p>
        </w:tc>
      </w:tr>
      <w:tr w:rsidR="00900F10" w:rsidRPr="00900F10" w14:paraId="2AD623F1" w14:textId="77777777" w:rsidTr="00900F10">
        <w:trPr>
          <w:trHeight w:val="391"/>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3CFCB75" w14:textId="77777777" w:rsidR="00900F10" w:rsidRPr="00900F10" w:rsidRDefault="00900F10" w:rsidP="00900F10">
            <w:pPr>
              <w:jc w:val="center"/>
              <w:rPr>
                <w:rFonts w:ascii="Calibri" w:hAnsi="Calibri"/>
                <w:sz w:val="20"/>
                <w:szCs w:val="20"/>
              </w:rPr>
            </w:pPr>
            <w:r w:rsidRPr="00900F10">
              <w:rPr>
                <w:rFonts w:ascii="Calibri" w:hAnsi="Calibri"/>
                <w:sz w:val="20"/>
                <w:szCs w:val="20"/>
              </w:rPr>
              <w:t>11.</w:t>
            </w:r>
          </w:p>
        </w:tc>
        <w:tc>
          <w:tcPr>
            <w:tcW w:w="3827" w:type="dxa"/>
            <w:tcBorders>
              <w:top w:val="nil"/>
              <w:left w:val="nil"/>
              <w:bottom w:val="single" w:sz="4" w:space="0" w:color="auto"/>
              <w:right w:val="single" w:sz="4" w:space="0" w:color="auto"/>
            </w:tcBorders>
            <w:shd w:val="clear" w:color="000000" w:fill="FFFFFF"/>
            <w:vAlign w:val="center"/>
            <w:hideMark/>
          </w:tcPr>
          <w:p w14:paraId="45BD21F1" w14:textId="77777777" w:rsidR="00900F10" w:rsidRPr="00900F10" w:rsidRDefault="00900F10" w:rsidP="00900F10">
            <w:pPr>
              <w:rPr>
                <w:rFonts w:ascii="Calibri" w:hAnsi="Calibri"/>
                <w:sz w:val="20"/>
                <w:szCs w:val="20"/>
              </w:rPr>
            </w:pPr>
            <w:r w:rsidRPr="00900F10">
              <w:rPr>
                <w:rFonts w:ascii="Calibri" w:hAnsi="Calibri"/>
                <w:sz w:val="20"/>
                <w:szCs w:val="20"/>
              </w:rPr>
              <w:t>ЕКО-БЕЛ д.о.о. Лакташи</w:t>
            </w:r>
          </w:p>
        </w:tc>
        <w:tc>
          <w:tcPr>
            <w:tcW w:w="2410" w:type="dxa"/>
            <w:tcBorders>
              <w:top w:val="nil"/>
              <w:left w:val="nil"/>
              <w:bottom w:val="single" w:sz="4" w:space="0" w:color="auto"/>
              <w:right w:val="single" w:sz="4" w:space="0" w:color="auto"/>
            </w:tcBorders>
            <w:shd w:val="clear" w:color="000000" w:fill="FFFFFF"/>
            <w:vAlign w:val="center"/>
            <w:hideMark/>
          </w:tcPr>
          <w:p w14:paraId="03CBFD9C"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350.000,00</w:t>
            </w:r>
          </w:p>
        </w:tc>
        <w:tc>
          <w:tcPr>
            <w:tcW w:w="1701" w:type="dxa"/>
            <w:tcBorders>
              <w:top w:val="nil"/>
              <w:left w:val="nil"/>
              <w:bottom w:val="single" w:sz="4" w:space="0" w:color="auto"/>
              <w:right w:val="single" w:sz="4" w:space="0" w:color="auto"/>
            </w:tcBorders>
            <w:shd w:val="clear" w:color="000000" w:fill="FFFFFF"/>
            <w:vAlign w:val="center"/>
            <w:hideMark/>
          </w:tcPr>
          <w:p w14:paraId="43CD0218" w14:textId="77777777" w:rsidR="00900F10" w:rsidRPr="00900F10" w:rsidRDefault="00900F10" w:rsidP="00900F10">
            <w:pPr>
              <w:jc w:val="right"/>
              <w:rPr>
                <w:rFonts w:ascii="Calibri" w:hAnsi="Calibri"/>
                <w:sz w:val="20"/>
                <w:szCs w:val="20"/>
              </w:rPr>
            </w:pPr>
            <w:r w:rsidRPr="00900F10">
              <w:rPr>
                <w:rFonts w:ascii="Calibri" w:hAnsi="Calibri"/>
                <w:sz w:val="20"/>
                <w:szCs w:val="20"/>
              </w:rPr>
              <w:t>175.000,00</w:t>
            </w:r>
          </w:p>
        </w:tc>
      </w:tr>
      <w:tr w:rsidR="00900F10" w:rsidRPr="00900F10" w14:paraId="3D2AFF15"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42DAA7E" w14:textId="77777777" w:rsidR="00900F10" w:rsidRPr="00900F10" w:rsidRDefault="00900F10" w:rsidP="00900F10">
            <w:pPr>
              <w:jc w:val="center"/>
              <w:rPr>
                <w:rFonts w:ascii="Calibri" w:hAnsi="Calibri"/>
                <w:sz w:val="20"/>
                <w:szCs w:val="20"/>
              </w:rPr>
            </w:pPr>
            <w:r w:rsidRPr="00900F10">
              <w:rPr>
                <w:rFonts w:ascii="Calibri" w:hAnsi="Calibri"/>
                <w:sz w:val="20"/>
                <w:szCs w:val="20"/>
              </w:rPr>
              <w:t>12.</w:t>
            </w:r>
          </w:p>
        </w:tc>
        <w:tc>
          <w:tcPr>
            <w:tcW w:w="3827" w:type="dxa"/>
            <w:tcBorders>
              <w:top w:val="nil"/>
              <w:left w:val="nil"/>
              <w:bottom w:val="single" w:sz="4" w:space="0" w:color="auto"/>
              <w:right w:val="single" w:sz="4" w:space="0" w:color="auto"/>
            </w:tcBorders>
            <w:shd w:val="clear" w:color="000000" w:fill="FFFFFF"/>
            <w:vAlign w:val="center"/>
            <w:hideMark/>
          </w:tcPr>
          <w:p w14:paraId="16F28ABA" w14:textId="77777777" w:rsidR="00900F10" w:rsidRPr="00900F10" w:rsidRDefault="00900F10" w:rsidP="00900F10">
            <w:pPr>
              <w:rPr>
                <w:rFonts w:ascii="Calibri" w:hAnsi="Calibri"/>
                <w:sz w:val="20"/>
                <w:szCs w:val="20"/>
              </w:rPr>
            </w:pPr>
            <w:r w:rsidRPr="00900F10">
              <w:rPr>
                <w:rFonts w:ascii="Calibri" w:hAnsi="Calibri"/>
                <w:sz w:val="20"/>
                <w:szCs w:val="20"/>
              </w:rPr>
              <w:t>СМРЧА вл. Живко Вукман с.п.</w:t>
            </w:r>
          </w:p>
        </w:tc>
        <w:tc>
          <w:tcPr>
            <w:tcW w:w="2410" w:type="dxa"/>
            <w:tcBorders>
              <w:top w:val="nil"/>
              <w:left w:val="nil"/>
              <w:bottom w:val="single" w:sz="4" w:space="0" w:color="auto"/>
              <w:right w:val="single" w:sz="4" w:space="0" w:color="auto"/>
            </w:tcBorders>
            <w:shd w:val="clear" w:color="000000" w:fill="FFFFFF"/>
            <w:vAlign w:val="center"/>
            <w:hideMark/>
          </w:tcPr>
          <w:p w14:paraId="71C0CB39" w14:textId="77777777" w:rsidR="00900F10" w:rsidRPr="00900F10" w:rsidRDefault="00900F10" w:rsidP="00900F10">
            <w:pPr>
              <w:jc w:val="right"/>
              <w:rPr>
                <w:rFonts w:ascii="Calibri" w:hAnsi="Calibri"/>
                <w:sz w:val="20"/>
                <w:szCs w:val="20"/>
              </w:rPr>
            </w:pPr>
            <w:r w:rsidRPr="00900F10">
              <w:rPr>
                <w:rFonts w:ascii="Calibri" w:hAnsi="Calibri"/>
                <w:sz w:val="20"/>
                <w:szCs w:val="20"/>
              </w:rPr>
              <w:t>80.000,00</w:t>
            </w:r>
          </w:p>
        </w:tc>
        <w:tc>
          <w:tcPr>
            <w:tcW w:w="1701" w:type="dxa"/>
            <w:tcBorders>
              <w:top w:val="nil"/>
              <w:left w:val="nil"/>
              <w:bottom w:val="single" w:sz="4" w:space="0" w:color="auto"/>
              <w:right w:val="single" w:sz="4" w:space="0" w:color="auto"/>
            </w:tcBorders>
            <w:shd w:val="clear" w:color="000000" w:fill="FFFFFF"/>
            <w:vAlign w:val="center"/>
            <w:hideMark/>
          </w:tcPr>
          <w:p w14:paraId="0C4138C1" w14:textId="77777777" w:rsidR="00900F10" w:rsidRPr="00900F10" w:rsidRDefault="00900F10" w:rsidP="00900F10">
            <w:pPr>
              <w:jc w:val="right"/>
              <w:rPr>
                <w:rFonts w:ascii="Calibri" w:hAnsi="Calibri"/>
                <w:sz w:val="20"/>
                <w:szCs w:val="20"/>
              </w:rPr>
            </w:pPr>
            <w:r w:rsidRPr="00900F10">
              <w:rPr>
                <w:rFonts w:ascii="Calibri" w:hAnsi="Calibri"/>
                <w:sz w:val="20"/>
                <w:szCs w:val="20"/>
              </w:rPr>
              <w:t>40.000,00</w:t>
            </w:r>
          </w:p>
        </w:tc>
      </w:tr>
      <w:tr w:rsidR="00900F10" w:rsidRPr="00900F10" w14:paraId="738A3270" w14:textId="77777777" w:rsidTr="00900F10">
        <w:trPr>
          <w:trHeight w:val="556"/>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588A098" w14:textId="77777777" w:rsidR="00900F10" w:rsidRPr="00900F10" w:rsidRDefault="00900F10" w:rsidP="00900F10">
            <w:pPr>
              <w:jc w:val="center"/>
              <w:rPr>
                <w:rFonts w:ascii="Calibri" w:hAnsi="Calibri"/>
                <w:sz w:val="20"/>
                <w:szCs w:val="20"/>
              </w:rPr>
            </w:pPr>
            <w:r w:rsidRPr="00900F10">
              <w:rPr>
                <w:rFonts w:ascii="Calibri" w:hAnsi="Calibri"/>
                <w:sz w:val="20"/>
                <w:szCs w:val="20"/>
              </w:rPr>
              <w:t>13.</w:t>
            </w:r>
          </w:p>
        </w:tc>
        <w:tc>
          <w:tcPr>
            <w:tcW w:w="3827" w:type="dxa"/>
            <w:tcBorders>
              <w:top w:val="nil"/>
              <w:left w:val="nil"/>
              <w:bottom w:val="single" w:sz="4" w:space="0" w:color="auto"/>
              <w:right w:val="single" w:sz="4" w:space="0" w:color="auto"/>
            </w:tcBorders>
            <w:shd w:val="clear" w:color="000000" w:fill="FFFFFF"/>
            <w:vAlign w:val="center"/>
            <w:hideMark/>
          </w:tcPr>
          <w:p w14:paraId="5585CA7F" w14:textId="77777777" w:rsidR="00900F10" w:rsidRPr="00900F10" w:rsidRDefault="00900F10" w:rsidP="00900F10">
            <w:pPr>
              <w:rPr>
                <w:rFonts w:ascii="Calibri" w:hAnsi="Calibri"/>
                <w:sz w:val="20"/>
                <w:szCs w:val="20"/>
              </w:rPr>
            </w:pPr>
            <w:r w:rsidRPr="00900F10">
              <w:rPr>
                <w:rFonts w:ascii="Calibri" w:hAnsi="Calibri"/>
                <w:sz w:val="20"/>
                <w:szCs w:val="20"/>
              </w:rPr>
              <w:t>ЗУ Амбуланта породичне медицине Кућа Здравља</w:t>
            </w:r>
          </w:p>
        </w:tc>
        <w:tc>
          <w:tcPr>
            <w:tcW w:w="2410" w:type="dxa"/>
            <w:tcBorders>
              <w:top w:val="nil"/>
              <w:left w:val="nil"/>
              <w:bottom w:val="single" w:sz="4" w:space="0" w:color="auto"/>
              <w:right w:val="single" w:sz="4" w:space="0" w:color="auto"/>
            </w:tcBorders>
            <w:shd w:val="clear" w:color="000000" w:fill="FFFFFF"/>
            <w:vAlign w:val="center"/>
            <w:hideMark/>
          </w:tcPr>
          <w:p w14:paraId="08B65DD4" w14:textId="77777777" w:rsidR="00900F10" w:rsidRPr="00900F10" w:rsidRDefault="00900F10" w:rsidP="00900F10">
            <w:pPr>
              <w:jc w:val="right"/>
              <w:rPr>
                <w:rFonts w:ascii="Calibri" w:hAnsi="Calibri"/>
                <w:sz w:val="20"/>
                <w:szCs w:val="20"/>
              </w:rPr>
            </w:pPr>
            <w:r w:rsidRPr="00900F10">
              <w:rPr>
                <w:rFonts w:ascii="Calibri" w:hAnsi="Calibri"/>
                <w:sz w:val="20"/>
                <w:szCs w:val="20"/>
              </w:rPr>
              <w:t>70.000,00</w:t>
            </w:r>
          </w:p>
        </w:tc>
        <w:tc>
          <w:tcPr>
            <w:tcW w:w="1701" w:type="dxa"/>
            <w:tcBorders>
              <w:top w:val="nil"/>
              <w:left w:val="nil"/>
              <w:bottom w:val="single" w:sz="4" w:space="0" w:color="auto"/>
              <w:right w:val="single" w:sz="4" w:space="0" w:color="auto"/>
            </w:tcBorders>
            <w:shd w:val="clear" w:color="000000" w:fill="FFFFFF"/>
            <w:vAlign w:val="center"/>
            <w:hideMark/>
          </w:tcPr>
          <w:p w14:paraId="573A52E0"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w:t>
            </w:r>
          </w:p>
        </w:tc>
      </w:tr>
      <w:tr w:rsidR="00900F10" w:rsidRPr="00900F10" w14:paraId="024A4197" w14:textId="77777777" w:rsidTr="00900F10">
        <w:trPr>
          <w:trHeight w:val="28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7BDF571" w14:textId="77777777" w:rsidR="00900F10" w:rsidRPr="00900F10" w:rsidRDefault="00900F10" w:rsidP="00900F10">
            <w:pPr>
              <w:jc w:val="center"/>
              <w:rPr>
                <w:rFonts w:ascii="Calibri" w:hAnsi="Calibri"/>
                <w:sz w:val="20"/>
                <w:szCs w:val="20"/>
              </w:rPr>
            </w:pPr>
            <w:r w:rsidRPr="00900F10">
              <w:rPr>
                <w:rFonts w:ascii="Calibri" w:hAnsi="Calibri"/>
                <w:sz w:val="20"/>
                <w:szCs w:val="20"/>
              </w:rPr>
              <w:t>14.</w:t>
            </w:r>
          </w:p>
        </w:tc>
        <w:tc>
          <w:tcPr>
            <w:tcW w:w="3827" w:type="dxa"/>
            <w:tcBorders>
              <w:top w:val="nil"/>
              <w:left w:val="nil"/>
              <w:bottom w:val="single" w:sz="4" w:space="0" w:color="auto"/>
              <w:right w:val="single" w:sz="4" w:space="0" w:color="auto"/>
            </w:tcBorders>
            <w:shd w:val="clear" w:color="000000" w:fill="FFFFFF"/>
            <w:vAlign w:val="center"/>
            <w:hideMark/>
          </w:tcPr>
          <w:p w14:paraId="6D7DA22D" w14:textId="77777777" w:rsidR="00900F10" w:rsidRPr="00900F10" w:rsidRDefault="00900F10" w:rsidP="00900F10">
            <w:pPr>
              <w:rPr>
                <w:rFonts w:ascii="Calibri" w:hAnsi="Calibri"/>
                <w:sz w:val="20"/>
                <w:szCs w:val="20"/>
              </w:rPr>
            </w:pPr>
            <w:r w:rsidRPr="00900F10">
              <w:rPr>
                <w:rFonts w:ascii="Calibri" w:hAnsi="Calibri"/>
                <w:sz w:val="20"/>
                <w:szCs w:val="20"/>
              </w:rPr>
              <w:t>Dobojinex д.о.о. Добој</w:t>
            </w:r>
          </w:p>
        </w:tc>
        <w:tc>
          <w:tcPr>
            <w:tcW w:w="2410" w:type="dxa"/>
            <w:tcBorders>
              <w:top w:val="nil"/>
              <w:left w:val="nil"/>
              <w:bottom w:val="single" w:sz="4" w:space="0" w:color="auto"/>
              <w:right w:val="single" w:sz="4" w:space="0" w:color="auto"/>
            </w:tcBorders>
            <w:shd w:val="clear" w:color="000000" w:fill="FFFFFF"/>
            <w:vAlign w:val="center"/>
            <w:hideMark/>
          </w:tcPr>
          <w:p w14:paraId="07C3860C"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c>
          <w:tcPr>
            <w:tcW w:w="1701" w:type="dxa"/>
            <w:tcBorders>
              <w:top w:val="nil"/>
              <w:left w:val="nil"/>
              <w:bottom w:val="single" w:sz="4" w:space="0" w:color="auto"/>
              <w:right w:val="single" w:sz="4" w:space="0" w:color="auto"/>
            </w:tcBorders>
            <w:shd w:val="clear" w:color="000000" w:fill="FFFFFF"/>
            <w:vAlign w:val="center"/>
            <w:hideMark/>
          </w:tcPr>
          <w:p w14:paraId="72FA2AD6" w14:textId="77777777" w:rsidR="00900F10" w:rsidRPr="00900F10" w:rsidRDefault="00900F10" w:rsidP="00900F10">
            <w:pPr>
              <w:jc w:val="right"/>
              <w:rPr>
                <w:rFonts w:ascii="Calibri" w:hAnsi="Calibri"/>
                <w:sz w:val="20"/>
                <w:szCs w:val="20"/>
              </w:rPr>
            </w:pPr>
            <w:r w:rsidRPr="00900F10">
              <w:rPr>
                <w:rFonts w:ascii="Calibri" w:hAnsi="Calibri"/>
                <w:sz w:val="20"/>
                <w:szCs w:val="20"/>
              </w:rPr>
              <w:t>1.050.000,00</w:t>
            </w:r>
          </w:p>
        </w:tc>
      </w:tr>
      <w:tr w:rsidR="00900F10" w:rsidRPr="00900F10" w14:paraId="02687108"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5C2FC6B" w14:textId="77777777" w:rsidR="00900F10" w:rsidRPr="00900F10" w:rsidRDefault="00900F10" w:rsidP="00900F10">
            <w:pPr>
              <w:jc w:val="center"/>
              <w:rPr>
                <w:rFonts w:ascii="Calibri" w:hAnsi="Calibri"/>
                <w:sz w:val="20"/>
                <w:szCs w:val="20"/>
              </w:rPr>
            </w:pPr>
            <w:r w:rsidRPr="00900F10">
              <w:rPr>
                <w:rFonts w:ascii="Calibri" w:hAnsi="Calibri"/>
                <w:sz w:val="20"/>
                <w:szCs w:val="20"/>
              </w:rPr>
              <w:t>15.</w:t>
            </w:r>
          </w:p>
        </w:tc>
        <w:tc>
          <w:tcPr>
            <w:tcW w:w="3827" w:type="dxa"/>
            <w:tcBorders>
              <w:top w:val="nil"/>
              <w:left w:val="nil"/>
              <w:bottom w:val="single" w:sz="4" w:space="0" w:color="auto"/>
              <w:right w:val="single" w:sz="4" w:space="0" w:color="auto"/>
            </w:tcBorders>
            <w:shd w:val="clear" w:color="000000" w:fill="FFFFFF"/>
            <w:vAlign w:val="center"/>
            <w:hideMark/>
          </w:tcPr>
          <w:p w14:paraId="545A8869" w14:textId="77777777" w:rsidR="00900F10" w:rsidRPr="00900F10" w:rsidRDefault="00900F10" w:rsidP="00900F10">
            <w:pPr>
              <w:rPr>
                <w:rFonts w:ascii="Calibri" w:hAnsi="Calibri"/>
                <w:sz w:val="20"/>
                <w:szCs w:val="20"/>
              </w:rPr>
            </w:pPr>
            <w:r w:rsidRPr="00900F10">
              <w:rPr>
                <w:rFonts w:ascii="Calibri" w:hAnsi="Calibri"/>
                <w:sz w:val="20"/>
                <w:szCs w:val="20"/>
              </w:rPr>
              <w:t>Гро лине д.о.о. Језеро</w:t>
            </w:r>
          </w:p>
        </w:tc>
        <w:tc>
          <w:tcPr>
            <w:tcW w:w="2410" w:type="dxa"/>
            <w:tcBorders>
              <w:top w:val="nil"/>
              <w:left w:val="nil"/>
              <w:bottom w:val="single" w:sz="4" w:space="0" w:color="auto"/>
              <w:right w:val="single" w:sz="4" w:space="0" w:color="auto"/>
            </w:tcBorders>
            <w:shd w:val="clear" w:color="000000" w:fill="FFFFFF"/>
            <w:vAlign w:val="center"/>
            <w:hideMark/>
          </w:tcPr>
          <w:p w14:paraId="30301882"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c>
          <w:tcPr>
            <w:tcW w:w="1701" w:type="dxa"/>
            <w:tcBorders>
              <w:top w:val="nil"/>
              <w:left w:val="nil"/>
              <w:bottom w:val="single" w:sz="4" w:space="0" w:color="auto"/>
              <w:right w:val="single" w:sz="4" w:space="0" w:color="auto"/>
            </w:tcBorders>
            <w:shd w:val="clear" w:color="000000" w:fill="FFFFFF"/>
            <w:vAlign w:val="center"/>
            <w:hideMark/>
          </w:tcPr>
          <w:p w14:paraId="40291070" w14:textId="77777777" w:rsidR="00900F10" w:rsidRPr="00900F10" w:rsidRDefault="00900F10" w:rsidP="00900F10">
            <w:pPr>
              <w:jc w:val="right"/>
              <w:rPr>
                <w:rFonts w:ascii="Calibri" w:hAnsi="Calibri"/>
                <w:sz w:val="20"/>
                <w:szCs w:val="20"/>
              </w:rPr>
            </w:pPr>
            <w:r w:rsidRPr="00900F10">
              <w:rPr>
                <w:rFonts w:ascii="Calibri" w:hAnsi="Calibri"/>
                <w:sz w:val="20"/>
                <w:szCs w:val="20"/>
              </w:rPr>
              <w:t>75.000,00</w:t>
            </w:r>
          </w:p>
        </w:tc>
      </w:tr>
      <w:tr w:rsidR="00900F10" w:rsidRPr="00900F10" w14:paraId="015EE272"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BC4F94C" w14:textId="77777777" w:rsidR="00900F10" w:rsidRPr="00900F10" w:rsidRDefault="00900F10" w:rsidP="00900F10">
            <w:pPr>
              <w:jc w:val="center"/>
              <w:rPr>
                <w:rFonts w:ascii="Calibri" w:hAnsi="Calibri"/>
                <w:sz w:val="20"/>
                <w:szCs w:val="20"/>
              </w:rPr>
            </w:pPr>
            <w:r w:rsidRPr="00900F10">
              <w:rPr>
                <w:rFonts w:ascii="Calibri" w:hAnsi="Calibri"/>
                <w:sz w:val="20"/>
                <w:szCs w:val="20"/>
              </w:rPr>
              <w:t>16.</w:t>
            </w:r>
          </w:p>
        </w:tc>
        <w:tc>
          <w:tcPr>
            <w:tcW w:w="3827" w:type="dxa"/>
            <w:tcBorders>
              <w:top w:val="nil"/>
              <w:left w:val="nil"/>
              <w:bottom w:val="single" w:sz="4" w:space="0" w:color="auto"/>
              <w:right w:val="single" w:sz="4" w:space="0" w:color="auto"/>
            </w:tcBorders>
            <w:shd w:val="clear" w:color="000000" w:fill="FFFFFF"/>
            <w:vAlign w:val="center"/>
            <w:hideMark/>
          </w:tcPr>
          <w:p w14:paraId="4E9CDE0F" w14:textId="77777777" w:rsidR="00900F10" w:rsidRPr="00900F10" w:rsidRDefault="00900F10" w:rsidP="00900F10">
            <w:pPr>
              <w:rPr>
                <w:rFonts w:ascii="Calibri" w:hAnsi="Calibri"/>
                <w:sz w:val="20"/>
                <w:szCs w:val="20"/>
              </w:rPr>
            </w:pPr>
            <w:r w:rsidRPr="00900F10">
              <w:rPr>
                <w:rFonts w:ascii="Calibri" w:hAnsi="Calibri"/>
                <w:sz w:val="20"/>
                <w:szCs w:val="20"/>
              </w:rPr>
              <w:t>ЈУ ВИРС Др Васо Бутозан</w:t>
            </w:r>
          </w:p>
        </w:tc>
        <w:tc>
          <w:tcPr>
            <w:tcW w:w="2410" w:type="dxa"/>
            <w:tcBorders>
              <w:top w:val="nil"/>
              <w:left w:val="nil"/>
              <w:bottom w:val="single" w:sz="4" w:space="0" w:color="auto"/>
              <w:right w:val="single" w:sz="4" w:space="0" w:color="auto"/>
            </w:tcBorders>
            <w:shd w:val="clear" w:color="000000" w:fill="FFFFFF"/>
            <w:vAlign w:val="center"/>
            <w:hideMark/>
          </w:tcPr>
          <w:p w14:paraId="72FFC32F" w14:textId="77777777" w:rsidR="00900F10" w:rsidRPr="00900F10" w:rsidRDefault="00900F10" w:rsidP="00900F10">
            <w:pPr>
              <w:jc w:val="right"/>
              <w:rPr>
                <w:rFonts w:ascii="Calibri" w:hAnsi="Calibri"/>
                <w:sz w:val="20"/>
                <w:szCs w:val="20"/>
              </w:rPr>
            </w:pPr>
            <w:r w:rsidRPr="00900F10">
              <w:rPr>
                <w:rFonts w:ascii="Calibri" w:hAnsi="Calibri"/>
                <w:sz w:val="20"/>
                <w:szCs w:val="20"/>
              </w:rPr>
              <w:t>488.000,00</w:t>
            </w:r>
          </w:p>
        </w:tc>
        <w:tc>
          <w:tcPr>
            <w:tcW w:w="1701" w:type="dxa"/>
            <w:tcBorders>
              <w:top w:val="nil"/>
              <w:left w:val="nil"/>
              <w:bottom w:val="single" w:sz="4" w:space="0" w:color="auto"/>
              <w:right w:val="single" w:sz="4" w:space="0" w:color="auto"/>
            </w:tcBorders>
            <w:shd w:val="clear" w:color="000000" w:fill="FFFFFF"/>
            <w:vAlign w:val="center"/>
            <w:hideMark/>
          </w:tcPr>
          <w:p w14:paraId="58EFC4D4" w14:textId="77777777" w:rsidR="00900F10" w:rsidRPr="00900F10" w:rsidRDefault="00900F10" w:rsidP="00900F10">
            <w:pPr>
              <w:jc w:val="right"/>
              <w:rPr>
                <w:rFonts w:ascii="Calibri" w:hAnsi="Calibri"/>
                <w:sz w:val="20"/>
                <w:szCs w:val="20"/>
              </w:rPr>
            </w:pPr>
            <w:r w:rsidRPr="00900F10">
              <w:rPr>
                <w:rFonts w:ascii="Calibri" w:hAnsi="Calibri"/>
                <w:sz w:val="20"/>
                <w:szCs w:val="20"/>
              </w:rPr>
              <w:t>146.400,00</w:t>
            </w:r>
          </w:p>
        </w:tc>
      </w:tr>
      <w:tr w:rsidR="00900F10" w:rsidRPr="00900F10" w14:paraId="2326D882"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021D255" w14:textId="77777777" w:rsidR="00900F10" w:rsidRPr="00900F10" w:rsidRDefault="00900F10" w:rsidP="00900F10">
            <w:pPr>
              <w:jc w:val="center"/>
              <w:rPr>
                <w:rFonts w:ascii="Calibri" w:hAnsi="Calibri"/>
                <w:sz w:val="20"/>
                <w:szCs w:val="20"/>
              </w:rPr>
            </w:pPr>
            <w:r w:rsidRPr="00900F10">
              <w:rPr>
                <w:rFonts w:ascii="Calibri" w:hAnsi="Calibri"/>
                <w:sz w:val="20"/>
                <w:szCs w:val="20"/>
              </w:rPr>
              <w:t>17.</w:t>
            </w:r>
          </w:p>
        </w:tc>
        <w:tc>
          <w:tcPr>
            <w:tcW w:w="3827" w:type="dxa"/>
            <w:tcBorders>
              <w:top w:val="nil"/>
              <w:left w:val="nil"/>
              <w:bottom w:val="single" w:sz="4" w:space="0" w:color="auto"/>
              <w:right w:val="single" w:sz="4" w:space="0" w:color="auto"/>
            </w:tcBorders>
            <w:shd w:val="clear" w:color="000000" w:fill="FFFFFF"/>
            <w:vAlign w:val="center"/>
            <w:hideMark/>
          </w:tcPr>
          <w:p w14:paraId="1C8ED316" w14:textId="77777777" w:rsidR="00900F10" w:rsidRPr="00900F10" w:rsidRDefault="00900F10" w:rsidP="00900F10">
            <w:pPr>
              <w:rPr>
                <w:rFonts w:ascii="Calibri" w:hAnsi="Calibri"/>
                <w:sz w:val="20"/>
                <w:szCs w:val="20"/>
              </w:rPr>
            </w:pPr>
            <w:r w:rsidRPr="00900F10">
              <w:rPr>
                <w:rFonts w:ascii="Calibri" w:hAnsi="Calibri"/>
                <w:sz w:val="20"/>
                <w:szCs w:val="20"/>
              </w:rPr>
              <w:t>Жарсон д.о.о. Соколац</w:t>
            </w:r>
          </w:p>
        </w:tc>
        <w:tc>
          <w:tcPr>
            <w:tcW w:w="2410" w:type="dxa"/>
            <w:tcBorders>
              <w:top w:val="nil"/>
              <w:left w:val="nil"/>
              <w:bottom w:val="single" w:sz="4" w:space="0" w:color="auto"/>
              <w:right w:val="single" w:sz="4" w:space="0" w:color="auto"/>
            </w:tcBorders>
            <w:shd w:val="clear" w:color="000000" w:fill="FFFFFF"/>
            <w:vAlign w:val="center"/>
            <w:hideMark/>
          </w:tcPr>
          <w:p w14:paraId="2E44A78E" w14:textId="77777777" w:rsidR="00900F10" w:rsidRPr="00900F10" w:rsidRDefault="00900F10" w:rsidP="00900F10">
            <w:pPr>
              <w:jc w:val="right"/>
              <w:rPr>
                <w:rFonts w:ascii="Calibri" w:hAnsi="Calibri"/>
                <w:sz w:val="20"/>
                <w:szCs w:val="20"/>
              </w:rPr>
            </w:pPr>
            <w:r w:rsidRPr="00900F10">
              <w:rPr>
                <w:rFonts w:ascii="Calibri" w:hAnsi="Calibri"/>
                <w:sz w:val="20"/>
                <w:szCs w:val="20"/>
              </w:rPr>
              <w:t>820.000,00</w:t>
            </w:r>
          </w:p>
        </w:tc>
        <w:tc>
          <w:tcPr>
            <w:tcW w:w="1701" w:type="dxa"/>
            <w:tcBorders>
              <w:top w:val="nil"/>
              <w:left w:val="nil"/>
              <w:bottom w:val="single" w:sz="4" w:space="0" w:color="auto"/>
              <w:right w:val="single" w:sz="4" w:space="0" w:color="auto"/>
            </w:tcBorders>
            <w:shd w:val="clear" w:color="000000" w:fill="FFFFFF"/>
            <w:vAlign w:val="center"/>
            <w:hideMark/>
          </w:tcPr>
          <w:p w14:paraId="1ADCC965" w14:textId="77777777" w:rsidR="00900F10" w:rsidRPr="00900F10" w:rsidRDefault="00900F10" w:rsidP="00900F10">
            <w:pPr>
              <w:jc w:val="right"/>
              <w:rPr>
                <w:rFonts w:ascii="Calibri" w:hAnsi="Calibri"/>
                <w:sz w:val="20"/>
                <w:szCs w:val="20"/>
              </w:rPr>
            </w:pPr>
            <w:r w:rsidRPr="00900F10">
              <w:rPr>
                <w:rFonts w:ascii="Calibri" w:hAnsi="Calibri"/>
                <w:sz w:val="20"/>
                <w:szCs w:val="20"/>
              </w:rPr>
              <w:t>286.918,00</w:t>
            </w:r>
          </w:p>
        </w:tc>
      </w:tr>
      <w:tr w:rsidR="00900F10" w:rsidRPr="00900F10" w14:paraId="49542899"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44CC6E3" w14:textId="77777777" w:rsidR="00900F10" w:rsidRPr="00900F10" w:rsidRDefault="00900F10" w:rsidP="00900F10">
            <w:pPr>
              <w:jc w:val="center"/>
              <w:rPr>
                <w:rFonts w:ascii="Calibri" w:hAnsi="Calibri"/>
                <w:sz w:val="20"/>
                <w:szCs w:val="20"/>
              </w:rPr>
            </w:pPr>
            <w:r w:rsidRPr="00900F10">
              <w:rPr>
                <w:rFonts w:ascii="Calibri" w:hAnsi="Calibri"/>
                <w:sz w:val="20"/>
                <w:szCs w:val="20"/>
              </w:rPr>
              <w:t>18.</w:t>
            </w:r>
          </w:p>
        </w:tc>
        <w:tc>
          <w:tcPr>
            <w:tcW w:w="3827" w:type="dxa"/>
            <w:tcBorders>
              <w:top w:val="nil"/>
              <w:left w:val="nil"/>
              <w:bottom w:val="single" w:sz="4" w:space="0" w:color="auto"/>
              <w:right w:val="single" w:sz="4" w:space="0" w:color="auto"/>
            </w:tcBorders>
            <w:shd w:val="clear" w:color="000000" w:fill="FFFFFF"/>
            <w:vAlign w:val="center"/>
            <w:hideMark/>
          </w:tcPr>
          <w:p w14:paraId="3076B185" w14:textId="77777777" w:rsidR="00900F10" w:rsidRPr="00900F10" w:rsidRDefault="00900F10" w:rsidP="00900F10">
            <w:pPr>
              <w:rPr>
                <w:rFonts w:ascii="Calibri" w:hAnsi="Calibri"/>
                <w:sz w:val="20"/>
                <w:szCs w:val="20"/>
              </w:rPr>
            </w:pPr>
            <w:r w:rsidRPr="00900F10">
              <w:rPr>
                <w:rFonts w:ascii="Calibri" w:hAnsi="Calibri"/>
                <w:sz w:val="20"/>
                <w:szCs w:val="20"/>
              </w:rPr>
              <w:t>Столарија Подроманија д.о.о. Соколац</w:t>
            </w:r>
          </w:p>
        </w:tc>
        <w:tc>
          <w:tcPr>
            <w:tcW w:w="2410" w:type="dxa"/>
            <w:tcBorders>
              <w:top w:val="nil"/>
              <w:left w:val="nil"/>
              <w:bottom w:val="single" w:sz="4" w:space="0" w:color="auto"/>
              <w:right w:val="single" w:sz="4" w:space="0" w:color="auto"/>
            </w:tcBorders>
            <w:shd w:val="clear" w:color="000000" w:fill="FFFFFF"/>
            <w:vAlign w:val="center"/>
            <w:hideMark/>
          </w:tcPr>
          <w:p w14:paraId="5484FC3E" w14:textId="77777777" w:rsidR="00900F10" w:rsidRPr="00900F10" w:rsidRDefault="00900F10" w:rsidP="00900F10">
            <w:pPr>
              <w:jc w:val="right"/>
              <w:rPr>
                <w:rFonts w:ascii="Calibri" w:hAnsi="Calibri"/>
                <w:sz w:val="20"/>
                <w:szCs w:val="20"/>
              </w:rPr>
            </w:pPr>
            <w:r w:rsidRPr="00900F10">
              <w:rPr>
                <w:rFonts w:ascii="Calibri" w:hAnsi="Calibri"/>
                <w:sz w:val="20"/>
                <w:szCs w:val="20"/>
              </w:rPr>
              <w:t>800.000,00</w:t>
            </w:r>
          </w:p>
        </w:tc>
        <w:tc>
          <w:tcPr>
            <w:tcW w:w="1701" w:type="dxa"/>
            <w:tcBorders>
              <w:top w:val="nil"/>
              <w:left w:val="nil"/>
              <w:bottom w:val="single" w:sz="4" w:space="0" w:color="auto"/>
              <w:right w:val="single" w:sz="4" w:space="0" w:color="auto"/>
            </w:tcBorders>
            <w:shd w:val="clear" w:color="000000" w:fill="FFFFFF"/>
            <w:vAlign w:val="center"/>
            <w:hideMark/>
          </w:tcPr>
          <w:p w14:paraId="0CCDAC35"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350.000,00</w:t>
            </w:r>
          </w:p>
        </w:tc>
      </w:tr>
      <w:tr w:rsidR="00900F10" w:rsidRPr="00900F10" w14:paraId="7453074D" w14:textId="77777777" w:rsidTr="00900F10">
        <w:trPr>
          <w:trHeight w:val="28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CA64A07" w14:textId="77777777" w:rsidR="00900F10" w:rsidRPr="00900F10" w:rsidRDefault="00900F10" w:rsidP="00900F10">
            <w:pPr>
              <w:jc w:val="center"/>
              <w:rPr>
                <w:rFonts w:ascii="Calibri" w:hAnsi="Calibri"/>
                <w:sz w:val="20"/>
                <w:szCs w:val="20"/>
              </w:rPr>
            </w:pPr>
            <w:r w:rsidRPr="00900F10">
              <w:rPr>
                <w:rFonts w:ascii="Calibri" w:hAnsi="Calibri"/>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14:paraId="5272BD38" w14:textId="77777777" w:rsidR="00900F10" w:rsidRPr="00900F10" w:rsidRDefault="00900F10" w:rsidP="00900F10">
            <w:pPr>
              <w:rPr>
                <w:rFonts w:ascii="Calibri" w:hAnsi="Calibri"/>
                <w:sz w:val="20"/>
                <w:szCs w:val="20"/>
              </w:rPr>
            </w:pPr>
            <w:r w:rsidRPr="00900F10">
              <w:rPr>
                <w:rFonts w:ascii="Calibri" w:hAnsi="Calibri"/>
                <w:sz w:val="20"/>
                <w:szCs w:val="20"/>
              </w:rPr>
              <w:t>Столарија Подроманија д.о.о. Соколац</w:t>
            </w:r>
          </w:p>
        </w:tc>
        <w:tc>
          <w:tcPr>
            <w:tcW w:w="2410" w:type="dxa"/>
            <w:tcBorders>
              <w:top w:val="nil"/>
              <w:left w:val="nil"/>
              <w:bottom w:val="single" w:sz="4" w:space="0" w:color="auto"/>
              <w:right w:val="single" w:sz="4" w:space="0" w:color="auto"/>
            </w:tcBorders>
            <w:shd w:val="clear" w:color="000000" w:fill="FFFFFF"/>
            <w:vAlign w:val="center"/>
            <w:hideMark/>
          </w:tcPr>
          <w:p w14:paraId="16D1DC8C"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600.000,00</w:t>
            </w:r>
          </w:p>
        </w:tc>
        <w:tc>
          <w:tcPr>
            <w:tcW w:w="1701" w:type="dxa"/>
            <w:tcBorders>
              <w:top w:val="nil"/>
              <w:left w:val="nil"/>
              <w:bottom w:val="single" w:sz="4" w:space="0" w:color="auto"/>
              <w:right w:val="single" w:sz="4" w:space="0" w:color="auto"/>
            </w:tcBorders>
            <w:shd w:val="clear" w:color="000000" w:fill="FFFFFF"/>
            <w:vAlign w:val="center"/>
            <w:hideMark/>
          </w:tcPr>
          <w:p w14:paraId="0C069A1D" w14:textId="77777777" w:rsidR="00900F10" w:rsidRPr="00900F10" w:rsidRDefault="00900F10" w:rsidP="00900F10">
            <w:pPr>
              <w:jc w:val="right"/>
              <w:rPr>
                <w:rFonts w:ascii="Calibri" w:hAnsi="Calibri"/>
                <w:sz w:val="20"/>
                <w:szCs w:val="20"/>
              </w:rPr>
            </w:pPr>
            <w:r w:rsidRPr="00900F10">
              <w:rPr>
                <w:rFonts w:ascii="Calibri" w:hAnsi="Calibri"/>
                <w:sz w:val="20"/>
                <w:szCs w:val="20"/>
              </w:rPr>
              <w:t>180.000,00</w:t>
            </w:r>
          </w:p>
        </w:tc>
      </w:tr>
      <w:tr w:rsidR="00900F10" w:rsidRPr="00900F10" w14:paraId="01EC1A55" w14:textId="77777777" w:rsidTr="00900F10">
        <w:trPr>
          <w:trHeight w:val="271"/>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04BFABA" w14:textId="77777777" w:rsidR="00900F10" w:rsidRPr="00900F10" w:rsidRDefault="00900F10" w:rsidP="00900F10">
            <w:pPr>
              <w:jc w:val="center"/>
              <w:rPr>
                <w:rFonts w:ascii="Calibri" w:hAnsi="Calibri"/>
                <w:sz w:val="20"/>
                <w:szCs w:val="20"/>
              </w:rPr>
            </w:pPr>
            <w:r w:rsidRPr="00900F10">
              <w:rPr>
                <w:rFonts w:ascii="Calibri" w:hAnsi="Calibri"/>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14:paraId="6DDE7ED2" w14:textId="77777777" w:rsidR="00900F10" w:rsidRPr="00900F10" w:rsidRDefault="00900F10" w:rsidP="00900F10">
            <w:pPr>
              <w:rPr>
                <w:rFonts w:ascii="Calibri" w:hAnsi="Calibri"/>
                <w:sz w:val="20"/>
                <w:szCs w:val="20"/>
              </w:rPr>
            </w:pPr>
            <w:r w:rsidRPr="00900F10">
              <w:rPr>
                <w:rFonts w:ascii="Calibri" w:hAnsi="Calibri"/>
                <w:sz w:val="20"/>
                <w:szCs w:val="20"/>
              </w:rPr>
              <w:t>Пилепром д.о.о. Каоци, Србац</w:t>
            </w:r>
          </w:p>
        </w:tc>
        <w:tc>
          <w:tcPr>
            <w:tcW w:w="2410" w:type="dxa"/>
            <w:tcBorders>
              <w:top w:val="nil"/>
              <w:left w:val="nil"/>
              <w:bottom w:val="single" w:sz="4" w:space="0" w:color="auto"/>
              <w:right w:val="single" w:sz="4" w:space="0" w:color="auto"/>
            </w:tcBorders>
            <w:shd w:val="clear" w:color="000000" w:fill="FFFFFF"/>
            <w:vAlign w:val="center"/>
            <w:hideMark/>
          </w:tcPr>
          <w:p w14:paraId="0BB4228C" w14:textId="77777777" w:rsidR="00900F10" w:rsidRPr="00900F10" w:rsidRDefault="00900F10" w:rsidP="00900F10">
            <w:pPr>
              <w:jc w:val="right"/>
              <w:rPr>
                <w:rFonts w:ascii="Calibri" w:hAnsi="Calibri"/>
                <w:sz w:val="20"/>
                <w:szCs w:val="20"/>
              </w:rPr>
            </w:pPr>
            <w:r w:rsidRPr="00900F10">
              <w:rPr>
                <w:rFonts w:ascii="Calibri" w:hAnsi="Calibri"/>
                <w:sz w:val="20"/>
                <w:szCs w:val="20"/>
              </w:rPr>
              <w:t>200.000,00</w:t>
            </w:r>
          </w:p>
        </w:tc>
        <w:tc>
          <w:tcPr>
            <w:tcW w:w="1701" w:type="dxa"/>
            <w:tcBorders>
              <w:top w:val="nil"/>
              <w:left w:val="nil"/>
              <w:bottom w:val="single" w:sz="4" w:space="0" w:color="auto"/>
              <w:right w:val="single" w:sz="4" w:space="0" w:color="auto"/>
            </w:tcBorders>
            <w:shd w:val="clear" w:color="000000" w:fill="FFFFFF"/>
            <w:vAlign w:val="center"/>
            <w:hideMark/>
          </w:tcPr>
          <w:p w14:paraId="189E09D6" w14:textId="77777777" w:rsidR="00900F10" w:rsidRPr="00900F10" w:rsidRDefault="00900F10" w:rsidP="00900F10">
            <w:pPr>
              <w:jc w:val="right"/>
              <w:rPr>
                <w:rFonts w:ascii="Calibri" w:hAnsi="Calibri"/>
                <w:sz w:val="20"/>
                <w:szCs w:val="20"/>
              </w:rPr>
            </w:pPr>
            <w:r w:rsidRPr="00900F10">
              <w:rPr>
                <w:rFonts w:ascii="Calibri" w:hAnsi="Calibri"/>
                <w:sz w:val="20"/>
                <w:szCs w:val="20"/>
              </w:rPr>
              <w:t>100.000,00</w:t>
            </w:r>
          </w:p>
        </w:tc>
      </w:tr>
      <w:tr w:rsidR="00900F10" w:rsidRPr="00900F10" w14:paraId="32CB77E9" w14:textId="77777777" w:rsidTr="00900F10">
        <w:trPr>
          <w:trHeight w:val="27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9BADC36" w14:textId="77777777" w:rsidR="00900F10" w:rsidRPr="00900F10" w:rsidRDefault="00900F10" w:rsidP="00900F10">
            <w:pPr>
              <w:jc w:val="center"/>
              <w:rPr>
                <w:rFonts w:ascii="Calibri" w:hAnsi="Calibri"/>
                <w:sz w:val="20"/>
                <w:szCs w:val="20"/>
              </w:rPr>
            </w:pPr>
            <w:r w:rsidRPr="00900F10">
              <w:rPr>
                <w:rFonts w:ascii="Calibri" w:hAnsi="Calibri"/>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14:paraId="709ED956" w14:textId="77777777" w:rsidR="00900F10" w:rsidRPr="00900F10" w:rsidRDefault="00900F10" w:rsidP="00900F10">
            <w:pPr>
              <w:rPr>
                <w:rFonts w:ascii="Calibri" w:hAnsi="Calibri"/>
                <w:sz w:val="20"/>
                <w:szCs w:val="20"/>
              </w:rPr>
            </w:pPr>
            <w:r w:rsidRPr="00900F10">
              <w:rPr>
                <w:rFonts w:ascii="Calibri" w:hAnsi="Calibri"/>
                <w:sz w:val="20"/>
                <w:szCs w:val="20"/>
              </w:rPr>
              <w:t>Нова дипо д.о.о. Горњи Подградци</w:t>
            </w:r>
          </w:p>
        </w:tc>
        <w:tc>
          <w:tcPr>
            <w:tcW w:w="2410" w:type="dxa"/>
            <w:tcBorders>
              <w:top w:val="nil"/>
              <w:left w:val="nil"/>
              <w:bottom w:val="single" w:sz="4" w:space="0" w:color="auto"/>
              <w:right w:val="single" w:sz="4" w:space="0" w:color="auto"/>
            </w:tcBorders>
            <w:shd w:val="clear" w:color="000000" w:fill="FFFFFF"/>
            <w:vAlign w:val="center"/>
            <w:hideMark/>
          </w:tcPr>
          <w:p w14:paraId="1904A14B"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c>
          <w:tcPr>
            <w:tcW w:w="1701" w:type="dxa"/>
            <w:tcBorders>
              <w:top w:val="nil"/>
              <w:left w:val="nil"/>
              <w:bottom w:val="single" w:sz="4" w:space="0" w:color="auto"/>
              <w:right w:val="single" w:sz="4" w:space="0" w:color="auto"/>
            </w:tcBorders>
            <w:shd w:val="clear" w:color="000000" w:fill="FFFFFF"/>
            <w:vAlign w:val="center"/>
            <w:hideMark/>
          </w:tcPr>
          <w:p w14:paraId="61AC8732" w14:textId="77777777" w:rsidR="00900F10" w:rsidRPr="00900F10" w:rsidRDefault="00900F10" w:rsidP="00900F10">
            <w:pPr>
              <w:jc w:val="right"/>
              <w:rPr>
                <w:rFonts w:ascii="Calibri" w:hAnsi="Calibri"/>
                <w:sz w:val="20"/>
                <w:szCs w:val="20"/>
              </w:rPr>
            </w:pPr>
            <w:r w:rsidRPr="00900F10">
              <w:rPr>
                <w:rFonts w:ascii="Calibri" w:hAnsi="Calibri"/>
                <w:sz w:val="20"/>
                <w:szCs w:val="20"/>
              </w:rPr>
              <w:t>1.050.000,00</w:t>
            </w:r>
          </w:p>
        </w:tc>
      </w:tr>
      <w:tr w:rsidR="00900F10" w:rsidRPr="00900F10" w14:paraId="337F23C6" w14:textId="77777777" w:rsidTr="00900F10">
        <w:trPr>
          <w:trHeight w:val="282"/>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2C3EAF4" w14:textId="77777777" w:rsidR="00900F10" w:rsidRPr="00900F10" w:rsidRDefault="00900F10" w:rsidP="00900F10">
            <w:pPr>
              <w:jc w:val="center"/>
              <w:rPr>
                <w:rFonts w:ascii="Calibri" w:hAnsi="Calibri"/>
                <w:sz w:val="20"/>
                <w:szCs w:val="20"/>
              </w:rPr>
            </w:pPr>
            <w:r w:rsidRPr="00900F10">
              <w:rPr>
                <w:rFonts w:ascii="Calibri" w:hAnsi="Calibri"/>
                <w:sz w:val="20"/>
                <w:szCs w:val="20"/>
              </w:rPr>
              <w:t>22.</w:t>
            </w:r>
          </w:p>
        </w:tc>
        <w:tc>
          <w:tcPr>
            <w:tcW w:w="3827" w:type="dxa"/>
            <w:tcBorders>
              <w:top w:val="nil"/>
              <w:left w:val="nil"/>
              <w:bottom w:val="single" w:sz="4" w:space="0" w:color="auto"/>
              <w:right w:val="single" w:sz="4" w:space="0" w:color="auto"/>
            </w:tcBorders>
            <w:shd w:val="clear" w:color="000000" w:fill="FFFFFF"/>
            <w:vAlign w:val="center"/>
            <w:hideMark/>
          </w:tcPr>
          <w:p w14:paraId="71196D27" w14:textId="77777777" w:rsidR="00900F10" w:rsidRPr="00900F10" w:rsidRDefault="00900F10" w:rsidP="00900F10">
            <w:pPr>
              <w:rPr>
                <w:rFonts w:ascii="Calibri" w:hAnsi="Calibri"/>
                <w:sz w:val="20"/>
                <w:szCs w:val="20"/>
              </w:rPr>
            </w:pPr>
            <w:r w:rsidRPr="00900F10">
              <w:rPr>
                <w:rFonts w:ascii="Calibri" w:hAnsi="Calibri"/>
                <w:sz w:val="20"/>
                <w:szCs w:val="20"/>
              </w:rPr>
              <w:t>Мане Комерц д.о.о. Србац</w:t>
            </w:r>
          </w:p>
        </w:tc>
        <w:tc>
          <w:tcPr>
            <w:tcW w:w="2410" w:type="dxa"/>
            <w:tcBorders>
              <w:top w:val="nil"/>
              <w:left w:val="nil"/>
              <w:bottom w:val="single" w:sz="4" w:space="0" w:color="auto"/>
              <w:right w:val="single" w:sz="4" w:space="0" w:color="auto"/>
            </w:tcBorders>
            <w:shd w:val="clear" w:color="000000" w:fill="FFFFFF"/>
            <w:vAlign w:val="center"/>
            <w:hideMark/>
          </w:tcPr>
          <w:p w14:paraId="777D5B30" w14:textId="77777777" w:rsidR="00900F10" w:rsidRPr="00900F10" w:rsidRDefault="00900F10" w:rsidP="00900F10">
            <w:pPr>
              <w:jc w:val="right"/>
              <w:rPr>
                <w:rFonts w:ascii="Calibri" w:hAnsi="Calibri"/>
                <w:sz w:val="20"/>
                <w:szCs w:val="20"/>
              </w:rPr>
            </w:pPr>
            <w:r w:rsidRPr="00900F10">
              <w:rPr>
                <w:rFonts w:ascii="Calibri" w:hAnsi="Calibri"/>
                <w:sz w:val="20"/>
                <w:szCs w:val="20"/>
              </w:rPr>
              <w:t>4.500.000,00</w:t>
            </w:r>
          </w:p>
        </w:tc>
        <w:tc>
          <w:tcPr>
            <w:tcW w:w="1701" w:type="dxa"/>
            <w:tcBorders>
              <w:top w:val="nil"/>
              <w:left w:val="nil"/>
              <w:bottom w:val="single" w:sz="4" w:space="0" w:color="auto"/>
              <w:right w:val="single" w:sz="4" w:space="0" w:color="auto"/>
            </w:tcBorders>
            <w:shd w:val="clear" w:color="000000" w:fill="FFFFFF"/>
            <w:vAlign w:val="center"/>
            <w:hideMark/>
          </w:tcPr>
          <w:p w14:paraId="1F20418B"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r>
      <w:tr w:rsidR="00900F10" w:rsidRPr="00900F10" w14:paraId="5C943714" w14:textId="77777777" w:rsidTr="00900F10">
        <w:trPr>
          <w:trHeight w:val="315"/>
        </w:trPr>
        <w:tc>
          <w:tcPr>
            <w:tcW w:w="4678" w:type="dxa"/>
            <w:gridSpan w:val="2"/>
            <w:tcBorders>
              <w:top w:val="single" w:sz="4" w:space="0" w:color="auto"/>
              <w:left w:val="single" w:sz="4" w:space="0" w:color="auto"/>
              <w:bottom w:val="single" w:sz="4" w:space="0" w:color="auto"/>
              <w:right w:val="single" w:sz="4" w:space="0" w:color="000000"/>
            </w:tcBorders>
            <w:shd w:val="clear" w:color="000000" w:fill="548DD4"/>
            <w:vAlign w:val="center"/>
            <w:hideMark/>
          </w:tcPr>
          <w:p w14:paraId="2F8C3833"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УКУПНО                                        22</w:t>
            </w:r>
          </w:p>
        </w:tc>
        <w:tc>
          <w:tcPr>
            <w:tcW w:w="2410" w:type="dxa"/>
            <w:tcBorders>
              <w:top w:val="nil"/>
              <w:left w:val="nil"/>
              <w:bottom w:val="single" w:sz="4" w:space="0" w:color="auto"/>
              <w:right w:val="single" w:sz="4" w:space="0" w:color="auto"/>
            </w:tcBorders>
            <w:shd w:val="clear" w:color="000000" w:fill="548DD4"/>
            <w:vAlign w:val="center"/>
            <w:hideMark/>
          </w:tcPr>
          <w:p w14:paraId="3154CB21" w14:textId="77777777" w:rsidR="00900F10" w:rsidRPr="00900F10" w:rsidRDefault="00900F10" w:rsidP="00900F10">
            <w:pPr>
              <w:jc w:val="right"/>
              <w:rPr>
                <w:rFonts w:ascii="Calibri" w:hAnsi="Calibri"/>
                <w:b/>
                <w:bCs/>
                <w:color w:val="auto"/>
                <w:sz w:val="20"/>
                <w:szCs w:val="20"/>
              </w:rPr>
            </w:pPr>
            <w:r w:rsidRPr="00900F10">
              <w:rPr>
                <w:rFonts w:ascii="Calibri" w:hAnsi="Calibri"/>
                <w:b/>
                <w:bCs/>
                <w:color w:val="auto"/>
                <w:sz w:val="20"/>
                <w:szCs w:val="20"/>
              </w:rPr>
              <w:t>15.086.900,00</w:t>
            </w:r>
          </w:p>
        </w:tc>
        <w:tc>
          <w:tcPr>
            <w:tcW w:w="1701" w:type="dxa"/>
            <w:tcBorders>
              <w:top w:val="nil"/>
              <w:left w:val="nil"/>
              <w:bottom w:val="single" w:sz="4" w:space="0" w:color="auto"/>
              <w:right w:val="single" w:sz="4" w:space="0" w:color="auto"/>
            </w:tcBorders>
            <w:shd w:val="clear" w:color="000000" w:fill="548DD4"/>
            <w:vAlign w:val="center"/>
            <w:hideMark/>
          </w:tcPr>
          <w:p w14:paraId="1D017939" w14:textId="77777777" w:rsidR="00900F10" w:rsidRPr="00900F10" w:rsidRDefault="00900F10" w:rsidP="00900F10">
            <w:pPr>
              <w:jc w:val="right"/>
              <w:rPr>
                <w:rFonts w:ascii="Calibri" w:hAnsi="Calibri"/>
                <w:b/>
                <w:bCs/>
                <w:color w:val="auto"/>
                <w:sz w:val="20"/>
                <w:szCs w:val="20"/>
              </w:rPr>
            </w:pPr>
            <w:r>
              <w:rPr>
                <w:rFonts w:ascii="Calibri" w:hAnsi="Calibri"/>
                <w:b/>
                <w:bCs/>
                <w:color w:val="auto"/>
                <w:sz w:val="20"/>
                <w:szCs w:val="20"/>
                <w:lang w:val="sr-Cyrl-RS"/>
              </w:rPr>
              <w:t>6.94</w:t>
            </w:r>
            <w:r w:rsidRPr="00900F10">
              <w:rPr>
                <w:rFonts w:ascii="Calibri" w:hAnsi="Calibri"/>
                <w:b/>
                <w:bCs/>
                <w:color w:val="auto"/>
                <w:sz w:val="20"/>
                <w:szCs w:val="20"/>
              </w:rPr>
              <w:t>3.296,00</w:t>
            </w:r>
          </w:p>
        </w:tc>
      </w:tr>
    </w:tbl>
    <w:p w14:paraId="3D11DD06" w14:textId="77777777" w:rsidR="00892214" w:rsidRPr="005767EF" w:rsidRDefault="00900F10" w:rsidP="001538EF">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fldChar w:fldCharType="end"/>
      </w:r>
    </w:p>
    <w:p w14:paraId="7158F217" w14:textId="77777777" w:rsidR="00900F10" w:rsidRDefault="00900F10" w:rsidP="001538EF">
      <w:pPr>
        <w:rPr>
          <w:rFonts w:asciiTheme="minorHAnsi" w:eastAsiaTheme="minorHAnsi" w:hAnsiTheme="minorHAnsi"/>
          <w:color w:val="auto"/>
          <w:sz w:val="20"/>
          <w:szCs w:val="20"/>
          <w:lang w:val="sr-Cyrl-BA" w:eastAsia="en-US"/>
        </w:rPr>
      </w:pPr>
    </w:p>
    <w:p w14:paraId="7C4C3E0F" w14:textId="77777777" w:rsidR="00900F10" w:rsidRDefault="00892214" w:rsidP="001538EF">
      <w:pPr>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Током 202</w:t>
      </w:r>
      <w:r w:rsidR="001D6AF5" w:rsidRPr="005767EF">
        <w:rPr>
          <w:rFonts w:asciiTheme="minorHAnsi" w:eastAsiaTheme="minorHAnsi" w:hAnsiTheme="minorHAnsi"/>
          <w:color w:val="auto"/>
          <w:sz w:val="20"/>
          <w:szCs w:val="20"/>
          <w:lang w:val="sr-Cyrl-BA" w:eastAsia="en-US"/>
        </w:rPr>
        <w:t xml:space="preserve">3. године, ван снаге </w:t>
      </w:r>
      <w:r w:rsidR="00900F10">
        <w:rPr>
          <w:rFonts w:asciiTheme="minorHAnsi" w:eastAsiaTheme="minorHAnsi" w:hAnsiTheme="minorHAnsi"/>
          <w:color w:val="auto"/>
          <w:sz w:val="20"/>
          <w:szCs w:val="20"/>
          <w:lang w:val="sr-Cyrl-BA" w:eastAsia="en-US"/>
        </w:rPr>
        <w:t>су</w:t>
      </w:r>
      <w:r w:rsidR="0041746A">
        <w:rPr>
          <w:rFonts w:asciiTheme="minorHAnsi" w:eastAsiaTheme="minorHAnsi" w:hAnsiTheme="minorHAnsi"/>
          <w:color w:val="auto"/>
          <w:sz w:val="20"/>
          <w:szCs w:val="20"/>
          <w:lang w:val="sr-Cyrl-BA" w:eastAsia="en-US"/>
        </w:rPr>
        <w:t xml:space="preserve"> стављен</w:t>
      </w:r>
      <w:r w:rsidR="00900F10">
        <w:rPr>
          <w:rFonts w:asciiTheme="minorHAnsi" w:eastAsiaTheme="minorHAnsi" w:hAnsiTheme="minorHAnsi"/>
          <w:color w:val="auto"/>
          <w:sz w:val="20"/>
          <w:szCs w:val="20"/>
          <w:lang w:val="sr-Cyrl-BA" w:eastAsia="en-US"/>
        </w:rPr>
        <w:t>е</w:t>
      </w:r>
      <w:r w:rsidR="0041746A">
        <w:rPr>
          <w:rFonts w:asciiTheme="minorHAnsi" w:eastAsiaTheme="minorHAnsi" w:hAnsiTheme="minorHAnsi"/>
          <w:color w:val="auto"/>
          <w:sz w:val="20"/>
          <w:szCs w:val="20"/>
          <w:lang w:val="sr-Cyrl-BA" w:eastAsia="en-US"/>
        </w:rPr>
        <w:t xml:space="preserve"> 2</w:t>
      </w:r>
      <w:r w:rsidR="00900F10">
        <w:rPr>
          <w:rFonts w:asciiTheme="minorHAnsi" w:eastAsiaTheme="minorHAnsi" w:hAnsiTheme="minorHAnsi"/>
          <w:color w:val="auto"/>
          <w:sz w:val="20"/>
          <w:szCs w:val="20"/>
          <w:lang w:val="sr-Cyrl-BA" w:eastAsia="en-US"/>
        </w:rPr>
        <w:t>2</w:t>
      </w:r>
      <w:r w:rsidR="0041746A">
        <w:rPr>
          <w:rFonts w:asciiTheme="minorHAnsi" w:eastAsiaTheme="minorHAnsi" w:hAnsiTheme="minorHAnsi"/>
          <w:color w:val="auto"/>
          <w:sz w:val="20"/>
          <w:szCs w:val="20"/>
          <w:lang w:val="sr-Cyrl-BA" w:eastAsia="en-US"/>
        </w:rPr>
        <w:t xml:space="preserve"> гаранциј</w:t>
      </w:r>
      <w:r w:rsidR="00900F10">
        <w:rPr>
          <w:rFonts w:asciiTheme="minorHAnsi" w:eastAsiaTheme="minorHAnsi" w:hAnsiTheme="minorHAnsi"/>
          <w:color w:val="auto"/>
          <w:sz w:val="20"/>
          <w:szCs w:val="20"/>
          <w:lang w:val="sr-Cyrl-BA" w:eastAsia="en-US"/>
        </w:rPr>
        <w:t>е</w:t>
      </w:r>
      <w:r w:rsidR="0041746A">
        <w:rPr>
          <w:rFonts w:asciiTheme="minorHAnsi" w:eastAsiaTheme="minorHAnsi" w:hAnsiTheme="minorHAnsi"/>
          <w:color w:val="auto"/>
          <w:sz w:val="20"/>
          <w:szCs w:val="20"/>
          <w:lang w:val="sr-Cyrl-BA" w:eastAsia="en-US"/>
        </w:rPr>
        <w:t>, иницијално одобрен</w:t>
      </w:r>
      <w:r w:rsidR="00900F10">
        <w:rPr>
          <w:rFonts w:asciiTheme="minorHAnsi" w:eastAsiaTheme="minorHAnsi" w:hAnsiTheme="minorHAnsi"/>
          <w:color w:val="auto"/>
          <w:sz w:val="20"/>
          <w:szCs w:val="20"/>
          <w:lang w:val="sr-Cyrl-BA" w:eastAsia="en-US"/>
        </w:rPr>
        <w:t>е</w:t>
      </w:r>
      <w:r w:rsidR="001D6AF5" w:rsidRPr="005767EF">
        <w:rPr>
          <w:rFonts w:asciiTheme="minorHAnsi" w:eastAsiaTheme="minorHAnsi" w:hAnsiTheme="minorHAnsi"/>
          <w:color w:val="auto"/>
          <w:sz w:val="20"/>
          <w:szCs w:val="20"/>
          <w:lang w:val="sr-Cyrl-BA" w:eastAsia="en-US"/>
        </w:rPr>
        <w:t xml:space="preserve"> у износу од </w:t>
      </w:r>
      <w:r w:rsidR="00900F10">
        <w:rPr>
          <w:rFonts w:asciiTheme="minorHAnsi" w:eastAsiaTheme="minorHAnsi" w:hAnsiTheme="minorHAnsi"/>
          <w:color w:val="auto"/>
          <w:sz w:val="20"/>
          <w:szCs w:val="20"/>
          <w:lang w:val="sr-Cyrl-BA" w:eastAsia="en-US"/>
        </w:rPr>
        <w:t>6.943</w:t>
      </w:r>
      <w:r w:rsidR="0041746A">
        <w:rPr>
          <w:rFonts w:asciiTheme="minorHAnsi" w:eastAsiaTheme="minorHAnsi" w:hAnsiTheme="minorHAnsi"/>
          <w:color w:val="auto"/>
          <w:sz w:val="20"/>
          <w:szCs w:val="20"/>
          <w:lang w:val="sr-Cyrl-BA" w:eastAsia="en-US"/>
        </w:rPr>
        <w:t>.296</w:t>
      </w:r>
      <w:r w:rsidR="001D6AF5" w:rsidRPr="005767EF">
        <w:rPr>
          <w:rFonts w:asciiTheme="minorHAnsi" w:eastAsiaTheme="minorHAnsi" w:hAnsiTheme="minorHAnsi"/>
          <w:color w:val="auto"/>
          <w:sz w:val="20"/>
          <w:szCs w:val="20"/>
          <w:lang w:val="sr-Cyrl-BA" w:eastAsia="en-US"/>
        </w:rPr>
        <w:t>,00 КМ, чиме је подржан пласман 1</w:t>
      </w:r>
      <w:r w:rsidR="00900F10">
        <w:rPr>
          <w:rFonts w:asciiTheme="minorHAnsi" w:eastAsiaTheme="minorHAnsi" w:hAnsiTheme="minorHAnsi"/>
          <w:color w:val="auto"/>
          <w:sz w:val="20"/>
          <w:szCs w:val="20"/>
          <w:lang w:val="sr-Cyrl-BA" w:eastAsia="en-US"/>
        </w:rPr>
        <w:t>5</w:t>
      </w:r>
      <w:r w:rsidR="001D6AF5" w:rsidRPr="005767EF">
        <w:rPr>
          <w:rFonts w:asciiTheme="minorHAnsi" w:eastAsiaTheme="minorHAnsi" w:hAnsiTheme="minorHAnsi"/>
          <w:color w:val="auto"/>
          <w:sz w:val="20"/>
          <w:szCs w:val="20"/>
          <w:lang w:val="sr-Cyrl-BA" w:eastAsia="en-US"/>
        </w:rPr>
        <w:t>.</w:t>
      </w:r>
      <w:r w:rsidR="00900F10">
        <w:rPr>
          <w:rFonts w:asciiTheme="minorHAnsi" w:eastAsiaTheme="minorHAnsi" w:hAnsiTheme="minorHAnsi"/>
          <w:color w:val="auto"/>
          <w:sz w:val="20"/>
          <w:szCs w:val="20"/>
          <w:lang w:val="sr-Cyrl-BA" w:eastAsia="en-US"/>
        </w:rPr>
        <w:t>0</w:t>
      </w:r>
      <w:r w:rsidR="0041746A">
        <w:rPr>
          <w:rFonts w:asciiTheme="minorHAnsi" w:eastAsiaTheme="minorHAnsi" w:hAnsiTheme="minorHAnsi"/>
          <w:color w:val="auto"/>
          <w:sz w:val="20"/>
          <w:szCs w:val="20"/>
          <w:lang w:val="sr-Cyrl-BA" w:eastAsia="en-US"/>
        </w:rPr>
        <w:t>86</w:t>
      </w:r>
      <w:r w:rsidR="001D6AF5" w:rsidRPr="005767EF">
        <w:rPr>
          <w:rFonts w:asciiTheme="minorHAnsi" w:eastAsiaTheme="minorHAnsi" w:hAnsiTheme="minorHAnsi"/>
          <w:color w:val="auto"/>
          <w:sz w:val="20"/>
          <w:szCs w:val="20"/>
          <w:lang w:val="sr-Cyrl-BA" w:eastAsia="en-US"/>
        </w:rPr>
        <w:t>.900,00 КМ кредитних средстава. Гара</w:t>
      </w:r>
      <w:r w:rsidR="00900F10">
        <w:rPr>
          <w:rFonts w:asciiTheme="minorHAnsi" w:eastAsiaTheme="minorHAnsi" w:hAnsiTheme="minorHAnsi"/>
          <w:color w:val="auto"/>
          <w:sz w:val="20"/>
          <w:szCs w:val="20"/>
          <w:lang w:val="sr-Cyrl-BA" w:eastAsia="en-US"/>
        </w:rPr>
        <w:t>нције су стављене ван снаге по 3</w:t>
      </w:r>
      <w:r w:rsidR="001D6AF5" w:rsidRPr="005767EF">
        <w:rPr>
          <w:rFonts w:asciiTheme="minorHAnsi" w:eastAsiaTheme="minorHAnsi" w:hAnsiTheme="minorHAnsi"/>
          <w:color w:val="auto"/>
          <w:sz w:val="20"/>
          <w:szCs w:val="20"/>
          <w:lang w:val="sr-Cyrl-BA" w:eastAsia="en-US"/>
        </w:rPr>
        <w:t xml:space="preserve"> основа –</w:t>
      </w:r>
      <w:r w:rsidR="00900F10">
        <w:rPr>
          <w:rFonts w:asciiTheme="minorHAnsi" w:eastAsiaTheme="minorHAnsi" w:hAnsiTheme="minorHAnsi"/>
          <w:color w:val="auto"/>
          <w:sz w:val="20"/>
          <w:szCs w:val="20"/>
          <w:lang w:val="sr-Cyrl-BA" w:eastAsia="en-US"/>
        </w:rPr>
        <w:t xml:space="preserve"> редовним истеком рока важења, </w:t>
      </w:r>
      <w:r w:rsidR="001D6AF5" w:rsidRPr="005767EF">
        <w:rPr>
          <w:rFonts w:asciiTheme="minorHAnsi" w:eastAsiaTheme="minorHAnsi" w:hAnsiTheme="minorHAnsi"/>
          <w:color w:val="auto"/>
          <w:sz w:val="20"/>
          <w:szCs w:val="20"/>
          <w:lang w:val="sr-Cyrl-BA" w:eastAsia="en-US"/>
        </w:rPr>
        <w:t>пријевременом отплатом од стране корисника кредита</w:t>
      </w:r>
      <w:r w:rsidR="00900F10">
        <w:rPr>
          <w:rFonts w:asciiTheme="minorHAnsi" w:eastAsiaTheme="minorHAnsi" w:hAnsiTheme="minorHAnsi"/>
          <w:color w:val="auto"/>
          <w:sz w:val="20"/>
          <w:szCs w:val="20"/>
          <w:lang w:val="sr-Cyrl-BA" w:eastAsia="en-US"/>
        </w:rPr>
        <w:t xml:space="preserve"> и на основу судске одлуке</w:t>
      </w:r>
      <w:r w:rsidR="001D6AF5" w:rsidRPr="005767EF">
        <w:rPr>
          <w:rFonts w:asciiTheme="minorHAnsi" w:eastAsiaTheme="minorHAnsi" w:hAnsiTheme="minorHAnsi"/>
          <w:color w:val="auto"/>
          <w:sz w:val="20"/>
          <w:szCs w:val="20"/>
          <w:lang w:val="sr-Cyrl-BA" w:eastAsia="en-US"/>
        </w:rPr>
        <w:t>.</w:t>
      </w:r>
    </w:p>
    <w:p w14:paraId="13F5C042" w14:textId="77777777" w:rsidR="001D6AF5" w:rsidRPr="00DB0D07" w:rsidRDefault="001D6AF5" w:rsidP="001538EF">
      <w:pPr>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 </w:t>
      </w:r>
    </w:p>
    <w:p w14:paraId="55DD72BA" w14:textId="77777777" w:rsidR="001538EF" w:rsidRPr="005767EF" w:rsidRDefault="001D6AF5" w:rsidP="001538EF">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sidRPr="005767EF">
        <w:rPr>
          <w:rFonts w:asciiTheme="minorHAnsi" w:eastAsiaTheme="minorHAnsi" w:hAnsiTheme="minorHAnsi"/>
          <w:color w:val="auto"/>
          <w:sz w:val="20"/>
          <w:szCs w:val="20"/>
          <w:lang w:val="sr-Cyrl-BA" w:eastAsia="en-US"/>
        </w:rPr>
        <w:t>због истека</w:t>
      </w:r>
      <w:r w:rsidR="001538EF" w:rsidRPr="005767EF">
        <w:rPr>
          <w:rFonts w:asciiTheme="minorHAnsi" w:eastAsiaTheme="minorHAnsi" w:hAnsiTheme="minorHAnsi"/>
          <w:color w:val="auto"/>
          <w:sz w:val="20"/>
          <w:szCs w:val="20"/>
          <w:lang w:val="sr-Cyrl-BA" w:eastAsia="en-US"/>
        </w:rPr>
        <w:t xml:space="preserve"> рока важења</w:t>
      </w:r>
      <w:r w:rsidRPr="005767EF">
        <w:rPr>
          <w:rFonts w:asciiTheme="minorHAnsi" w:eastAsiaTheme="minorHAnsi" w:hAnsiTheme="minorHAnsi"/>
          <w:color w:val="auto"/>
          <w:sz w:val="20"/>
          <w:szCs w:val="20"/>
          <w:lang w:val="sr-Cyrl-BA" w:eastAsia="en-US"/>
        </w:rPr>
        <w:t>, ван снаге је стављено 1</w:t>
      </w:r>
      <w:r w:rsidR="00DB0D07">
        <w:rPr>
          <w:rFonts w:asciiTheme="minorHAnsi" w:eastAsiaTheme="minorHAnsi" w:hAnsiTheme="minorHAnsi"/>
          <w:color w:val="auto"/>
          <w:sz w:val="20"/>
          <w:szCs w:val="20"/>
          <w:lang w:val="sr-Cyrl-BA" w:eastAsia="en-US"/>
        </w:rPr>
        <w:t>5</w:t>
      </w:r>
      <w:r w:rsidR="001538EF" w:rsidRPr="005767EF">
        <w:rPr>
          <w:rFonts w:asciiTheme="minorHAnsi" w:eastAsiaTheme="minorHAnsi" w:hAnsiTheme="minorHAnsi"/>
          <w:color w:val="auto"/>
          <w:sz w:val="20"/>
          <w:szCs w:val="20"/>
          <w:lang w:val="sr-Cyrl-BA" w:eastAsia="en-US"/>
        </w:rPr>
        <w:t xml:space="preserve"> гаранција у износу од </w:t>
      </w:r>
      <w:r w:rsidRPr="005767EF">
        <w:rPr>
          <w:rFonts w:asciiTheme="minorHAnsi" w:eastAsiaTheme="minorHAnsi" w:hAnsiTheme="minorHAnsi"/>
          <w:color w:val="auto"/>
          <w:sz w:val="20"/>
          <w:szCs w:val="20"/>
          <w:lang w:val="sr-Cyrl-BA" w:eastAsia="en-US"/>
        </w:rPr>
        <w:t>3.</w:t>
      </w:r>
      <w:r w:rsidR="00DB0D07">
        <w:rPr>
          <w:rFonts w:asciiTheme="minorHAnsi" w:eastAsiaTheme="minorHAnsi" w:hAnsiTheme="minorHAnsi"/>
          <w:color w:val="auto"/>
          <w:sz w:val="20"/>
          <w:szCs w:val="20"/>
          <w:lang w:val="sr-Cyrl-BA" w:eastAsia="en-US"/>
        </w:rPr>
        <w:t>335</w:t>
      </w:r>
      <w:r w:rsidRPr="005767EF">
        <w:rPr>
          <w:rFonts w:asciiTheme="minorHAnsi" w:eastAsiaTheme="minorHAnsi" w:hAnsiTheme="minorHAnsi"/>
          <w:color w:val="auto"/>
          <w:sz w:val="20"/>
          <w:szCs w:val="20"/>
          <w:lang w:val="sr-Cyrl-BA" w:eastAsia="en-US"/>
        </w:rPr>
        <w:t>.378</w:t>
      </w:r>
      <w:r w:rsidR="001538EF" w:rsidRPr="005767EF">
        <w:rPr>
          <w:rFonts w:asciiTheme="minorHAnsi" w:eastAsiaTheme="minorHAnsi" w:hAnsiTheme="minorHAnsi"/>
          <w:color w:val="auto"/>
          <w:sz w:val="20"/>
          <w:szCs w:val="20"/>
          <w:lang w:val="sr-Cyrl-BA" w:eastAsia="en-US"/>
        </w:rPr>
        <w:t>,00 КМ</w:t>
      </w:r>
      <w:r w:rsidR="003A0742">
        <w:rPr>
          <w:rFonts w:asciiTheme="minorHAnsi" w:eastAsiaTheme="minorHAnsi" w:hAnsiTheme="minorHAnsi"/>
          <w:color w:val="auto"/>
          <w:sz w:val="20"/>
          <w:szCs w:val="20"/>
          <w:lang w:val="sr-Cyrl-BA" w:eastAsia="en-US"/>
        </w:rPr>
        <w:t>;</w:t>
      </w:r>
    </w:p>
    <w:p w14:paraId="2B871FBD" w14:textId="77777777" w:rsidR="004221E8" w:rsidRPr="00900F10" w:rsidRDefault="001538EF" w:rsidP="004221E8">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sidRPr="005767EF">
        <w:rPr>
          <w:rFonts w:asciiTheme="minorHAnsi" w:eastAsiaTheme="minorHAnsi" w:hAnsiTheme="minorHAnsi"/>
          <w:color w:val="auto"/>
          <w:sz w:val="20"/>
          <w:szCs w:val="20"/>
          <w:lang w:val="sr-Cyrl-BA" w:eastAsia="en-US"/>
        </w:rPr>
        <w:t>због пријевремене отплате кредита</w:t>
      </w:r>
      <w:r w:rsidR="001D6AF5" w:rsidRPr="005767EF">
        <w:rPr>
          <w:rFonts w:asciiTheme="minorHAnsi" w:eastAsiaTheme="minorHAnsi" w:hAnsiTheme="minorHAnsi"/>
          <w:color w:val="auto"/>
          <w:sz w:val="20"/>
          <w:szCs w:val="20"/>
          <w:lang w:val="sr-Cyrl-BA" w:eastAsia="en-US"/>
        </w:rPr>
        <w:t>, ван снаге је стављено</w:t>
      </w:r>
      <w:r w:rsidRPr="005767EF">
        <w:rPr>
          <w:rFonts w:asciiTheme="minorHAnsi" w:eastAsiaTheme="minorHAnsi" w:hAnsiTheme="minorHAnsi"/>
          <w:color w:val="auto"/>
          <w:sz w:val="20"/>
          <w:szCs w:val="20"/>
          <w:lang w:val="sr-Cyrl-BA" w:eastAsia="en-US"/>
        </w:rPr>
        <w:t xml:space="preserve"> </w:t>
      </w:r>
      <w:r w:rsidR="001D6AF5" w:rsidRPr="005767EF">
        <w:rPr>
          <w:rFonts w:asciiTheme="minorHAnsi" w:eastAsiaTheme="minorHAnsi" w:hAnsiTheme="minorHAnsi"/>
          <w:color w:val="auto"/>
          <w:sz w:val="20"/>
          <w:szCs w:val="20"/>
          <w:lang w:val="sr-Cyrl-BA" w:eastAsia="en-US"/>
        </w:rPr>
        <w:t>6</w:t>
      </w:r>
      <w:r w:rsidRPr="005767EF">
        <w:rPr>
          <w:rFonts w:asciiTheme="minorHAnsi" w:eastAsiaTheme="minorHAnsi" w:hAnsiTheme="minorHAnsi"/>
          <w:color w:val="auto"/>
          <w:sz w:val="20"/>
          <w:szCs w:val="20"/>
          <w:lang w:val="sr-Cyrl-BA" w:eastAsia="en-US"/>
        </w:rPr>
        <w:t xml:space="preserve"> гаранција у износу од </w:t>
      </w:r>
      <w:r w:rsidR="001D6AF5" w:rsidRPr="005767EF">
        <w:rPr>
          <w:rFonts w:asciiTheme="minorHAnsi" w:eastAsiaTheme="minorHAnsi" w:hAnsiTheme="minorHAnsi"/>
          <w:color w:val="auto"/>
          <w:sz w:val="20"/>
          <w:szCs w:val="20"/>
          <w:lang w:val="sr-Cyrl-BA" w:eastAsia="en-US"/>
        </w:rPr>
        <w:t>2.107.918,00</w:t>
      </w:r>
      <w:r w:rsidRPr="005767EF">
        <w:rPr>
          <w:rFonts w:asciiTheme="minorHAnsi" w:eastAsiaTheme="minorHAnsi" w:hAnsiTheme="minorHAnsi"/>
          <w:color w:val="auto"/>
          <w:sz w:val="20"/>
          <w:szCs w:val="20"/>
          <w:lang w:val="sr-Cyrl-BA" w:eastAsia="en-US"/>
        </w:rPr>
        <w:t xml:space="preserve"> КМ</w:t>
      </w:r>
      <w:r w:rsidR="003A0742">
        <w:rPr>
          <w:rFonts w:asciiTheme="minorHAnsi" w:eastAsiaTheme="minorHAnsi" w:hAnsiTheme="minorHAnsi"/>
          <w:color w:val="auto"/>
          <w:sz w:val="20"/>
          <w:szCs w:val="20"/>
          <w:lang w:val="sr-Cyrl-BA" w:eastAsia="en-US"/>
        </w:rPr>
        <w:t>;</w:t>
      </w:r>
    </w:p>
    <w:p w14:paraId="79D96B26" w14:textId="77777777" w:rsidR="00900F10" w:rsidRPr="00444987" w:rsidRDefault="00900F10" w:rsidP="004221E8">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Pr>
          <w:rFonts w:asciiTheme="minorHAnsi" w:eastAsiaTheme="minorHAnsi" w:hAnsiTheme="minorHAnsi"/>
          <w:color w:val="auto"/>
          <w:sz w:val="20"/>
          <w:szCs w:val="20"/>
          <w:lang w:val="sr-Cyrl-BA" w:eastAsia="en-US"/>
        </w:rPr>
        <w:t>на основу судске одлуке, ван снаге је стављена гаранција за клијента Мане комерц д.о.о. у износу од 1.500.000,00 КМ</w:t>
      </w:r>
      <w:r w:rsidR="003A0742">
        <w:rPr>
          <w:rFonts w:asciiTheme="minorHAnsi" w:eastAsiaTheme="minorHAnsi" w:hAnsiTheme="minorHAnsi"/>
          <w:color w:val="auto"/>
          <w:sz w:val="20"/>
          <w:szCs w:val="20"/>
          <w:lang w:val="sr-Cyrl-BA" w:eastAsia="en-US"/>
        </w:rPr>
        <w:t>. Наведена гаранција је протестована током 2022. године, након чега је покренут судски поступак како би се утврдила оправданост захтјева за плаћање.</w:t>
      </w:r>
      <w:r>
        <w:rPr>
          <w:rFonts w:asciiTheme="minorHAnsi" w:eastAsiaTheme="minorHAnsi" w:hAnsiTheme="minorHAnsi"/>
          <w:color w:val="auto"/>
          <w:sz w:val="20"/>
          <w:szCs w:val="20"/>
          <w:lang w:val="sr-Cyrl-BA" w:eastAsia="en-US"/>
        </w:rPr>
        <w:t xml:space="preserve"> </w:t>
      </w:r>
      <w:r w:rsidR="003A0742">
        <w:rPr>
          <w:rFonts w:asciiTheme="minorHAnsi" w:eastAsiaTheme="minorHAnsi" w:hAnsiTheme="minorHAnsi"/>
          <w:color w:val="auto"/>
          <w:sz w:val="20"/>
          <w:szCs w:val="20"/>
          <w:lang w:val="sr-Cyrl-BA" w:eastAsia="en-US"/>
        </w:rPr>
        <w:t>Гаранција</w:t>
      </w:r>
      <w:r>
        <w:rPr>
          <w:rFonts w:asciiTheme="minorHAnsi" w:eastAsiaTheme="minorHAnsi" w:hAnsiTheme="minorHAnsi"/>
          <w:color w:val="auto"/>
          <w:sz w:val="20"/>
          <w:szCs w:val="20"/>
          <w:lang w:val="sr-Cyrl-BA" w:eastAsia="en-US"/>
        </w:rPr>
        <w:t xml:space="preserve"> је стављена ван снаге након </w:t>
      </w:r>
      <w:r w:rsidR="000D5B93">
        <w:rPr>
          <w:rFonts w:asciiTheme="minorHAnsi" w:eastAsiaTheme="minorHAnsi" w:hAnsiTheme="minorHAnsi"/>
          <w:color w:val="auto"/>
          <w:sz w:val="20"/>
          <w:szCs w:val="20"/>
          <w:lang w:val="sr-Cyrl-BA" w:eastAsia="en-US"/>
        </w:rPr>
        <w:t>потписивања споразума са Новом банком а.д. Бања Лука о начину плаћања гаранције.</w:t>
      </w:r>
      <w:r>
        <w:rPr>
          <w:rFonts w:asciiTheme="minorHAnsi" w:eastAsiaTheme="minorHAnsi" w:hAnsiTheme="minorHAnsi"/>
          <w:color w:val="auto"/>
          <w:sz w:val="20"/>
          <w:szCs w:val="20"/>
          <w:lang w:val="sr-Cyrl-BA" w:eastAsia="en-US"/>
        </w:rPr>
        <w:t xml:space="preserve"> </w:t>
      </w:r>
    </w:p>
    <w:p w14:paraId="24F09AAD" w14:textId="77777777" w:rsidR="00444987" w:rsidRPr="00A3442E" w:rsidRDefault="00444987" w:rsidP="00444987">
      <w:pPr>
        <w:pStyle w:val="ListParagraph"/>
        <w:autoSpaceDE w:val="0"/>
        <w:autoSpaceDN w:val="0"/>
        <w:adjustRightInd w:val="0"/>
        <w:rPr>
          <w:rFonts w:asciiTheme="minorHAnsi" w:eastAsiaTheme="minorHAnsi" w:hAnsiTheme="minorHAnsi"/>
          <w:color w:val="auto"/>
          <w:sz w:val="20"/>
          <w:szCs w:val="20"/>
          <w:lang w:val="sr-Latn-BA" w:eastAsia="en-US"/>
        </w:rPr>
      </w:pPr>
    </w:p>
    <w:p w14:paraId="3D6A9AB7" w14:textId="77777777" w:rsidR="001538EF" w:rsidRPr="00444987" w:rsidRDefault="001538EF" w:rsidP="00444987">
      <w:pPr>
        <w:autoSpaceDE w:val="0"/>
        <w:autoSpaceDN w:val="0"/>
        <w:adjustRightInd w:val="0"/>
        <w:jc w:val="center"/>
        <w:rPr>
          <w:rFonts w:asciiTheme="minorHAnsi" w:eastAsiaTheme="minorHAnsi" w:hAnsiTheme="minorHAnsi"/>
          <w:b/>
          <w:bCs/>
          <w:color w:val="auto"/>
          <w:sz w:val="20"/>
          <w:szCs w:val="20"/>
          <w:lang w:val="sr-Cyrl-RS" w:eastAsia="en-US"/>
        </w:rPr>
      </w:pPr>
      <w:r w:rsidRPr="005767EF">
        <w:rPr>
          <w:rFonts w:asciiTheme="minorHAnsi" w:eastAsiaTheme="minorHAnsi" w:hAnsiTheme="minorHAnsi"/>
          <w:b/>
          <w:bCs/>
          <w:color w:val="auto"/>
          <w:sz w:val="20"/>
          <w:szCs w:val="20"/>
          <w:lang w:val="sr-Latn-RS" w:eastAsia="en-US"/>
        </w:rPr>
        <w:t xml:space="preserve">Преглед </w:t>
      </w:r>
      <w:r w:rsidRPr="005767EF">
        <w:rPr>
          <w:rFonts w:asciiTheme="minorHAnsi" w:eastAsiaTheme="minorHAnsi" w:hAnsiTheme="minorHAnsi"/>
          <w:b/>
          <w:bCs/>
          <w:color w:val="auto"/>
          <w:sz w:val="20"/>
          <w:szCs w:val="20"/>
          <w:lang w:val="sr-Cyrl-BA" w:eastAsia="en-US"/>
        </w:rPr>
        <w:t xml:space="preserve"> протестованих </w:t>
      </w:r>
      <w:r w:rsidRPr="005767EF">
        <w:rPr>
          <w:rFonts w:asciiTheme="minorHAnsi" w:eastAsiaTheme="minorHAnsi" w:hAnsiTheme="minorHAnsi"/>
          <w:b/>
          <w:bCs/>
          <w:color w:val="auto"/>
          <w:sz w:val="20"/>
          <w:szCs w:val="20"/>
          <w:lang w:val="sr-Latn-RS" w:eastAsia="en-US"/>
        </w:rPr>
        <w:t xml:space="preserve">гаранција </w:t>
      </w:r>
      <w:r w:rsidRPr="005767EF">
        <w:rPr>
          <w:rFonts w:asciiTheme="minorHAnsi" w:eastAsiaTheme="minorHAnsi" w:hAnsiTheme="minorHAnsi"/>
          <w:b/>
          <w:bCs/>
          <w:color w:val="auto"/>
          <w:sz w:val="20"/>
          <w:szCs w:val="20"/>
          <w:lang w:val="sr-Cyrl-BA" w:eastAsia="en-US"/>
        </w:rPr>
        <w:t xml:space="preserve"> </w:t>
      </w:r>
      <w:r w:rsidR="00153592" w:rsidRPr="005767EF">
        <w:rPr>
          <w:rFonts w:asciiTheme="minorHAnsi" w:eastAsiaTheme="minorHAnsi" w:hAnsiTheme="minorHAnsi"/>
          <w:b/>
          <w:bCs/>
          <w:color w:val="auto"/>
          <w:sz w:val="20"/>
          <w:szCs w:val="20"/>
          <w:lang w:val="sr-Cyrl-RS" w:eastAsia="en-US"/>
        </w:rPr>
        <w:t>у</w:t>
      </w:r>
      <w:r w:rsidRPr="005767EF">
        <w:rPr>
          <w:rFonts w:asciiTheme="minorHAnsi" w:eastAsiaTheme="minorHAnsi" w:hAnsiTheme="minorHAnsi"/>
          <w:b/>
          <w:bCs/>
          <w:color w:val="auto"/>
          <w:sz w:val="20"/>
          <w:szCs w:val="20"/>
          <w:lang w:val="sr-Latn-RS" w:eastAsia="en-US"/>
        </w:rPr>
        <w:t xml:space="preserve"> период</w:t>
      </w:r>
      <w:r w:rsidR="00153592" w:rsidRPr="005767EF">
        <w:rPr>
          <w:rFonts w:asciiTheme="minorHAnsi" w:eastAsiaTheme="minorHAnsi" w:hAnsiTheme="minorHAnsi"/>
          <w:b/>
          <w:bCs/>
          <w:color w:val="auto"/>
          <w:sz w:val="20"/>
          <w:szCs w:val="20"/>
          <w:lang w:val="sr-Cyrl-RS" w:eastAsia="en-US"/>
        </w:rPr>
        <w:t>у</w:t>
      </w:r>
      <w:r w:rsidRPr="005767EF">
        <w:rPr>
          <w:rFonts w:asciiTheme="minorHAnsi" w:eastAsiaTheme="minorHAnsi" w:hAnsiTheme="minorHAnsi"/>
          <w:b/>
          <w:bCs/>
          <w:color w:val="auto"/>
          <w:sz w:val="20"/>
          <w:szCs w:val="20"/>
          <w:lang w:val="sr-Latn-RS" w:eastAsia="en-US"/>
        </w:rPr>
        <w:t xml:space="preserve"> 01.01.202</w:t>
      </w:r>
      <w:r w:rsidR="001528EB" w:rsidRPr="005767EF">
        <w:rPr>
          <w:rFonts w:asciiTheme="minorHAnsi" w:eastAsiaTheme="minorHAnsi" w:hAnsiTheme="minorHAnsi"/>
          <w:b/>
          <w:bCs/>
          <w:color w:val="auto"/>
          <w:sz w:val="20"/>
          <w:szCs w:val="20"/>
          <w:lang w:val="sr-Cyrl-RS" w:eastAsia="en-US"/>
        </w:rPr>
        <w:t>3</w:t>
      </w:r>
      <w:r w:rsidRPr="005767EF">
        <w:rPr>
          <w:rFonts w:asciiTheme="minorHAnsi" w:eastAsiaTheme="minorHAnsi" w:hAnsiTheme="minorHAnsi"/>
          <w:b/>
          <w:bCs/>
          <w:color w:val="auto"/>
          <w:sz w:val="20"/>
          <w:szCs w:val="20"/>
          <w:lang w:val="sr-Latn-RS" w:eastAsia="en-US"/>
        </w:rPr>
        <w:t>. - 31.12.202</w:t>
      </w:r>
      <w:r w:rsidR="001528EB" w:rsidRPr="005767EF">
        <w:rPr>
          <w:rFonts w:asciiTheme="minorHAnsi" w:eastAsiaTheme="minorHAnsi" w:hAnsiTheme="minorHAnsi"/>
          <w:b/>
          <w:bCs/>
          <w:color w:val="auto"/>
          <w:sz w:val="20"/>
          <w:szCs w:val="20"/>
          <w:lang w:val="sr-Cyrl-RS" w:eastAsia="en-US"/>
        </w:rPr>
        <w:t>3</w:t>
      </w:r>
      <w:r w:rsidRPr="005767EF">
        <w:rPr>
          <w:rFonts w:asciiTheme="minorHAnsi" w:eastAsiaTheme="minorHAnsi" w:hAnsiTheme="minorHAnsi"/>
          <w:b/>
          <w:bCs/>
          <w:color w:val="auto"/>
          <w:sz w:val="20"/>
          <w:szCs w:val="20"/>
          <w:lang w:val="sr-Latn-RS" w:eastAsia="en-US"/>
        </w:rPr>
        <w:t>. године</w:t>
      </w:r>
    </w:p>
    <w:p w14:paraId="3DBE3D57" w14:textId="77777777" w:rsidR="001538EF" w:rsidRPr="00A3442E"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Pr="005767EF">
        <w:rPr>
          <w:rFonts w:asciiTheme="minorHAnsi" w:eastAsiaTheme="minorHAnsi" w:hAnsiTheme="minorHAnsi"/>
          <w:color w:val="auto"/>
          <w:sz w:val="20"/>
          <w:szCs w:val="20"/>
          <w:lang w:val="sr-Latn-BA" w:eastAsia="en-US"/>
        </w:rPr>
        <w:tab/>
      </w:r>
      <w:r w:rsidR="001528EB" w:rsidRPr="005767EF">
        <w:rPr>
          <w:rFonts w:asciiTheme="minorHAnsi" w:eastAsiaTheme="minorHAnsi" w:hAnsiTheme="minorHAnsi"/>
          <w:color w:val="auto"/>
          <w:sz w:val="20"/>
          <w:szCs w:val="20"/>
          <w:lang w:val="sr-Cyrl-RS" w:eastAsia="en-US"/>
        </w:rPr>
        <w:t xml:space="preserve">    </w:t>
      </w:r>
      <w:r w:rsidR="00A3442E">
        <w:rPr>
          <w:rFonts w:asciiTheme="minorHAnsi" w:eastAsiaTheme="minorHAnsi" w:hAnsiTheme="minorHAnsi"/>
          <w:b/>
          <w:color w:val="auto"/>
          <w:sz w:val="20"/>
          <w:szCs w:val="20"/>
          <w:lang w:val="sr-Cyrl-BA" w:eastAsia="en-US"/>
        </w:rPr>
        <w:t xml:space="preserve">Табела </w:t>
      </w:r>
      <w:r w:rsidR="00E3312F">
        <w:rPr>
          <w:rFonts w:asciiTheme="minorHAnsi" w:eastAsiaTheme="minorHAnsi" w:hAnsiTheme="minorHAnsi"/>
          <w:b/>
          <w:color w:val="auto"/>
          <w:sz w:val="20"/>
          <w:szCs w:val="20"/>
          <w:lang w:val="sr-Cyrl-BA" w:eastAsia="en-US"/>
        </w:rPr>
        <w:t>6</w:t>
      </w:r>
    </w:p>
    <w:tbl>
      <w:tblPr>
        <w:tblW w:w="889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2803"/>
        <w:gridCol w:w="1468"/>
        <w:gridCol w:w="1238"/>
        <w:gridCol w:w="1443"/>
        <w:gridCol w:w="1178"/>
      </w:tblGrid>
      <w:tr w:rsidR="00153592" w:rsidRPr="005767EF" w14:paraId="767A3B96" w14:textId="77777777" w:rsidTr="003B2F4F">
        <w:trPr>
          <w:trHeight w:val="825"/>
        </w:trPr>
        <w:tc>
          <w:tcPr>
            <w:tcW w:w="705" w:type="dxa"/>
            <w:shd w:val="clear" w:color="auto" w:fill="548DD4" w:themeFill="text2" w:themeFillTint="99"/>
            <w:vAlign w:val="center"/>
            <w:hideMark/>
          </w:tcPr>
          <w:p w14:paraId="46440ACC" w14:textId="77777777" w:rsidR="00153592" w:rsidRPr="005767EF" w:rsidRDefault="00153592" w:rsidP="001538EF">
            <w:pPr>
              <w:jc w:val="center"/>
              <w:rPr>
                <w:rFonts w:asciiTheme="minorHAnsi" w:hAnsiTheme="minorHAnsi"/>
                <w:sz w:val="20"/>
                <w:szCs w:val="20"/>
                <w:lang w:val="sr-Cyrl-RS"/>
              </w:rPr>
            </w:pPr>
            <w:r w:rsidRPr="005767EF">
              <w:rPr>
                <w:rFonts w:asciiTheme="minorHAnsi" w:hAnsiTheme="minorHAnsi"/>
                <w:b/>
                <w:sz w:val="20"/>
                <w:szCs w:val="20"/>
                <w:lang w:val="sr-Cyrl-RS" w:eastAsia="sr-Latn-RS"/>
              </w:rPr>
              <w:t>Редни број</w:t>
            </w:r>
          </w:p>
          <w:p w14:paraId="3B5F05EF" w14:textId="77777777" w:rsidR="00153592" w:rsidRPr="005767EF" w:rsidRDefault="00153592" w:rsidP="001538EF">
            <w:pPr>
              <w:jc w:val="center"/>
              <w:rPr>
                <w:rFonts w:asciiTheme="minorHAnsi" w:hAnsiTheme="minorHAnsi"/>
                <w:b/>
                <w:sz w:val="20"/>
                <w:szCs w:val="20"/>
                <w:lang w:val="sr-Latn-RS" w:eastAsia="sr-Latn-RS"/>
              </w:rPr>
            </w:pPr>
          </w:p>
        </w:tc>
        <w:tc>
          <w:tcPr>
            <w:tcW w:w="2904" w:type="dxa"/>
            <w:shd w:val="clear" w:color="auto" w:fill="548DD4" w:themeFill="text2" w:themeFillTint="99"/>
            <w:vAlign w:val="center"/>
            <w:hideMark/>
          </w:tcPr>
          <w:p w14:paraId="477362C9" w14:textId="77777777" w:rsidR="00153592" w:rsidRPr="005767EF" w:rsidRDefault="00153592" w:rsidP="001538EF">
            <w:pPr>
              <w:jc w:val="center"/>
              <w:rPr>
                <w:rFonts w:asciiTheme="minorHAnsi" w:hAnsiTheme="minorHAnsi"/>
                <w:sz w:val="20"/>
                <w:szCs w:val="20"/>
                <w:lang w:val="sr-Cyrl-RS"/>
              </w:rPr>
            </w:pPr>
            <w:r w:rsidRPr="005767EF">
              <w:rPr>
                <w:rFonts w:asciiTheme="minorHAnsi" w:hAnsiTheme="minorHAnsi"/>
                <w:b/>
                <w:sz w:val="20"/>
                <w:szCs w:val="20"/>
                <w:lang w:val="sr-Latn-RS" w:eastAsia="sr-Latn-RS"/>
              </w:rPr>
              <w:t>Налогодавац</w:t>
            </w:r>
            <w:r w:rsidRPr="005767EF">
              <w:rPr>
                <w:rFonts w:asciiTheme="minorHAnsi" w:hAnsiTheme="minorHAnsi"/>
                <w:b/>
                <w:sz w:val="20"/>
                <w:szCs w:val="20"/>
                <w:lang w:val="sr-Cyrl-RS" w:eastAsia="sr-Latn-RS"/>
              </w:rPr>
              <w:t xml:space="preserve"> гаранције</w:t>
            </w:r>
          </w:p>
          <w:p w14:paraId="30A1A55E" w14:textId="77777777" w:rsidR="00153592" w:rsidRPr="005767EF" w:rsidRDefault="00153592" w:rsidP="001538EF">
            <w:pPr>
              <w:jc w:val="center"/>
              <w:rPr>
                <w:rFonts w:asciiTheme="minorHAnsi" w:hAnsiTheme="minorHAnsi"/>
                <w:b/>
                <w:sz w:val="20"/>
                <w:szCs w:val="20"/>
                <w:lang w:val="sr-Latn-RS" w:eastAsia="sr-Latn-RS"/>
              </w:rPr>
            </w:pPr>
          </w:p>
        </w:tc>
        <w:tc>
          <w:tcPr>
            <w:tcW w:w="1475" w:type="dxa"/>
            <w:shd w:val="clear" w:color="auto" w:fill="548DD4" w:themeFill="text2" w:themeFillTint="99"/>
            <w:vAlign w:val="center"/>
            <w:hideMark/>
          </w:tcPr>
          <w:p w14:paraId="4451D3A6" w14:textId="77777777" w:rsidR="00153592" w:rsidRPr="005767EF" w:rsidRDefault="00153592" w:rsidP="00153592">
            <w:pPr>
              <w:jc w:val="center"/>
              <w:rPr>
                <w:rFonts w:asciiTheme="minorHAnsi" w:hAnsiTheme="minorHAnsi"/>
                <w:sz w:val="20"/>
                <w:szCs w:val="20"/>
              </w:rPr>
            </w:pPr>
            <w:r w:rsidRPr="005767EF">
              <w:rPr>
                <w:rFonts w:asciiTheme="minorHAnsi" w:hAnsiTheme="minorHAnsi"/>
                <w:b/>
                <w:sz w:val="20"/>
                <w:szCs w:val="20"/>
                <w:lang w:val="sr-Latn-RS" w:eastAsia="sr-Latn-RS"/>
              </w:rPr>
              <w:t>Износ</w:t>
            </w:r>
          </w:p>
          <w:p w14:paraId="1231729B" w14:textId="77777777" w:rsidR="00153592" w:rsidRPr="005767EF" w:rsidRDefault="00153592" w:rsidP="00153592">
            <w:pPr>
              <w:jc w:val="center"/>
              <w:rPr>
                <w:rFonts w:asciiTheme="minorHAnsi" w:hAnsiTheme="minorHAnsi"/>
                <w:sz w:val="20"/>
                <w:szCs w:val="20"/>
                <w:lang w:val="sr-Cyrl-RS"/>
              </w:rPr>
            </w:pPr>
            <w:r w:rsidRPr="005767EF">
              <w:rPr>
                <w:rFonts w:asciiTheme="minorHAnsi" w:hAnsiTheme="minorHAnsi"/>
                <w:b/>
                <w:sz w:val="20"/>
                <w:szCs w:val="20"/>
                <w:lang w:val="sr-Latn-RS" w:eastAsia="sr-Latn-RS"/>
              </w:rPr>
              <w:t>Кредита</w:t>
            </w:r>
            <w:r w:rsidRPr="005767EF">
              <w:rPr>
                <w:rFonts w:asciiTheme="minorHAnsi" w:hAnsiTheme="minorHAnsi"/>
                <w:b/>
                <w:sz w:val="20"/>
                <w:szCs w:val="20"/>
                <w:lang w:val="sr-Cyrl-RS" w:eastAsia="sr-Latn-RS"/>
              </w:rPr>
              <w:t>/ Износ гарантованог ануитета</w:t>
            </w:r>
          </w:p>
          <w:p w14:paraId="0E065BFC" w14:textId="77777777" w:rsidR="00153592" w:rsidRPr="005767EF" w:rsidRDefault="00153592" w:rsidP="00153592">
            <w:pPr>
              <w:jc w:val="center"/>
              <w:rPr>
                <w:rFonts w:asciiTheme="minorHAnsi" w:hAnsiTheme="minorHAnsi"/>
                <w:b/>
                <w:sz w:val="20"/>
                <w:szCs w:val="20"/>
                <w:lang w:val="sr-Latn-RS" w:eastAsia="sr-Latn-RS"/>
              </w:rPr>
            </w:pPr>
          </w:p>
        </w:tc>
        <w:tc>
          <w:tcPr>
            <w:tcW w:w="1175" w:type="dxa"/>
            <w:shd w:val="clear" w:color="auto" w:fill="548DD4" w:themeFill="text2" w:themeFillTint="99"/>
            <w:vAlign w:val="center"/>
          </w:tcPr>
          <w:p w14:paraId="25038473" w14:textId="77777777" w:rsidR="00153592" w:rsidRPr="005767EF" w:rsidRDefault="00153592" w:rsidP="00153592">
            <w:pPr>
              <w:jc w:val="center"/>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Номинални износ гаранције</w:t>
            </w:r>
          </w:p>
        </w:tc>
        <w:tc>
          <w:tcPr>
            <w:tcW w:w="1445" w:type="dxa"/>
            <w:shd w:val="clear" w:color="auto" w:fill="548DD4" w:themeFill="text2" w:themeFillTint="99"/>
            <w:vAlign w:val="center"/>
            <w:hideMark/>
          </w:tcPr>
          <w:p w14:paraId="12FD0892" w14:textId="77777777" w:rsidR="00153592" w:rsidRPr="005767EF" w:rsidRDefault="00153592" w:rsidP="00153592">
            <w:pPr>
              <w:jc w:val="center"/>
              <w:rPr>
                <w:rFonts w:asciiTheme="minorHAnsi" w:hAnsiTheme="minorHAnsi"/>
                <w:b/>
                <w:sz w:val="20"/>
                <w:szCs w:val="20"/>
                <w:lang w:val="sr-Cyrl-RS" w:eastAsia="sr-Latn-RS"/>
              </w:rPr>
            </w:pPr>
          </w:p>
          <w:p w14:paraId="103E85E2" w14:textId="77777777" w:rsidR="00153592" w:rsidRPr="005767EF" w:rsidRDefault="00153592" w:rsidP="00153592">
            <w:pPr>
              <w:jc w:val="center"/>
              <w:rPr>
                <w:rFonts w:asciiTheme="minorHAnsi" w:hAnsiTheme="minorHAnsi"/>
                <w:sz w:val="20"/>
                <w:szCs w:val="20"/>
                <w:lang w:val="sr-Cyrl-RS"/>
              </w:rPr>
            </w:pPr>
            <w:r w:rsidRPr="005767EF">
              <w:rPr>
                <w:rFonts w:asciiTheme="minorHAnsi" w:hAnsiTheme="minorHAnsi"/>
                <w:b/>
                <w:sz w:val="20"/>
                <w:szCs w:val="20"/>
                <w:lang w:val="sr-Cyrl-RS" w:eastAsia="sr-Latn-RS"/>
              </w:rPr>
              <w:t>Протестовани износ гаранције</w:t>
            </w:r>
          </w:p>
          <w:p w14:paraId="49A2F575" w14:textId="77777777" w:rsidR="00153592" w:rsidRPr="005767EF" w:rsidRDefault="00153592" w:rsidP="00153592">
            <w:pPr>
              <w:jc w:val="center"/>
              <w:rPr>
                <w:rFonts w:asciiTheme="minorHAnsi" w:hAnsiTheme="minorHAnsi"/>
                <w:b/>
                <w:sz w:val="20"/>
                <w:szCs w:val="20"/>
                <w:lang w:val="sr-Latn-RS" w:eastAsia="sr-Latn-RS"/>
              </w:rPr>
            </w:pPr>
          </w:p>
        </w:tc>
        <w:tc>
          <w:tcPr>
            <w:tcW w:w="1186" w:type="dxa"/>
            <w:shd w:val="clear" w:color="auto" w:fill="548DD4" w:themeFill="text2" w:themeFillTint="99"/>
            <w:vAlign w:val="center"/>
          </w:tcPr>
          <w:p w14:paraId="0BAF78DA" w14:textId="77777777" w:rsidR="00153592" w:rsidRPr="005767EF" w:rsidRDefault="00153592" w:rsidP="00153592">
            <w:pPr>
              <w:jc w:val="center"/>
              <w:rPr>
                <w:rFonts w:asciiTheme="minorHAnsi" w:hAnsiTheme="minorHAnsi"/>
                <w:b/>
                <w:sz w:val="20"/>
                <w:szCs w:val="20"/>
                <w:lang w:val="sr-Cyrl-RS" w:eastAsia="sr-Latn-RS"/>
              </w:rPr>
            </w:pPr>
          </w:p>
          <w:p w14:paraId="65BBF386" w14:textId="77777777" w:rsidR="00153592" w:rsidRPr="005767EF" w:rsidRDefault="00153592" w:rsidP="00153592">
            <w:pPr>
              <w:jc w:val="center"/>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Плаћени износ гаранције</w:t>
            </w:r>
          </w:p>
        </w:tc>
      </w:tr>
      <w:tr w:rsidR="00153592" w:rsidRPr="005767EF" w14:paraId="78AB938D" w14:textId="77777777" w:rsidTr="00153592">
        <w:trPr>
          <w:trHeight w:val="219"/>
        </w:trPr>
        <w:tc>
          <w:tcPr>
            <w:tcW w:w="705" w:type="dxa"/>
            <w:shd w:val="clear" w:color="000000" w:fill="FFFFFF"/>
            <w:hideMark/>
          </w:tcPr>
          <w:p w14:paraId="4A4CD683" w14:textId="77777777" w:rsidR="00153592" w:rsidRPr="005767EF" w:rsidRDefault="00153592" w:rsidP="001538EF">
            <w:pPr>
              <w:jc w:val="left"/>
              <w:rPr>
                <w:rFonts w:asciiTheme="minorHAnsi" w:hAnsiTheme="minorHAnsi"/>
                <w:sz w:val="20"/>
                <w:szCs w:val="20"/>
                <w:lang w:val="sr-Cyrl-RS" w:eastAsia="sr-Latn-RS"/>
              </w:rPr>
            </w:pPr>
            <w:r w:rsidRPr="005767EF">
              <w:rPr>
                <w:rFonts w:asciiTheme="minorHAnsi" w:hAnsiTheme="minorHAnsi"/>
                <w:sz w:val="20"/>
                <w:szCs w:val="20"/>
                <w:lang w:val="sr-Cyrl-RS" w:eastAsia="sr-Latn-RS"/>
              </w:rPr>
              <w:t>1.</w:t>
            </w:r>
          </w:p>
        </w:tc>
        <w:tc>
          <w:tcPr>
            <w:tcW w:w="2904" w:type="dxa"/>
            <w:shd w:val="clear" w:color="000000" w:fill="FFFFFF"/>
            <w:hideMark/>
          </w:tcPr>
          <w:p w14:paraId="00CE4486" w14:textId="77777777" w:rsidR="00153592" w:rsidRPr="005767EF" w:rsidRDefault="00153592" w:rsidP="001538EF">
            <w:pPr>
              <w:rPr>
                <w:rFonts w:asciiTheme="minorHAnsi" w:hAnsiTheme="minorHAnsi"/>
                <w:sz w:val="20"/>
                <w:szCs w:val="20"/>
                <w:lang w:val="sr-Cyrl-RS" w:eastAsia="sr-Latn-RS"/>
              </w:rPr>
            </w:pPr>
            <w:r w:rsidRPr="005767EF">
              <w:rPr>
                <w:rFonts w:asciiTheme="minorHAnsi" w:hAnsiTheme="minorHAnsi"/>
                <w:sz w:val="20"/>
                <w:szCs w:val="20"/>
                <w:lang w:val="sr-Cyrl-RS" w:eastAsia="sr-Latn-RS"/>
              </w:rPr>
              <w:t>Перпер плус д.о.о. Слатина, Лакташи</w:t>
            </w:r>
          </w:p>
        </w:tc>
        <w:tc>
          <w:tcPr>
            <w:tcW w:w="1475" w:type="dxa"/>
            <w:shd w:val="clear" w:color="000000" w:fill="FFFFFF"/>
            <w:vAlign w:val="center"/>
            <w:hideMark/>
          </w:tcPr>
          <w:p w14:paraId="04276F7F"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100</w:t>
            </w:r>
            <w:r w:rsidRPr="005767EF">
              <w:rPr>
                <w:rFonts w:asciiTheme="minorHAnsi" w:hAnsiTheme="minorHAnsi"/>
                <w:sz w:val="20"/>
                <w:szCs w:val="20"/>
                <w:lang w:val="sr-Latn-RS" w:eastAsia="sr-Latn-RS"/>
              </w:rPr>
              <w:t>.000,00</w:t>
            </w:r>
          </w:p>
        </w:tc>
        <w:tc>
          <w:tcPr>
            <w:tcW w:w="1175" w:type="dxa"/>
            <w:shd w:val="clear" w:color="000000" w:fill="FFFFFF"/>
            <w:vAlign w:val="center"/>
          </w:tcPr>
          <w:p w14:paraId="77ED120F"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50.000,00</w:t>
            </w:r>
          </w:p>
        </w:tc>
        <w:tc>
          <w:tcPr>
            <w:tcW w:w="1445" w:type="dxa"/>
            <w:shd w:val="clear" w:color="000000" w:fill="FFFFFF"/>
            <w:vAlign w:val="center"/>
            <w:hideMark/>
          </w:tcPr>
          <w:p w14:paraId="5CDAB441"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25</w:t>
            </w:r>
            <w:r w:rsidRPr="005767EF">
              <w:rPr>
                <w:rFonts w:asciiTheme="minorHAnsi" w:hAnsiTheme="minorHAnsi"/>
                <w:sz w:val="20"/>
                <w:szCs w:val="20"/>
                <w:lang w:val="sr-Latn-RS" w:eastAsia="sr-Latn-RS"/>
              </w:rPr>
              <w:t>.</w:t>
            </w:r>
            <w:r w:rsidRPr="005767EF">
              <w:rPr>
                <w:rFonts w:asciiTheme="minorHAnsi" w:hAnsiTheme="minorHAnsi"/>
                <w:sz w:val="20"/>
                <w:szCs w:val="20"/>
                <w:lang w:val="sr-Cyrl-RS" w:eastAsia="sr-Latn-RS"/>
              </w:rPr>
              <w:t>844,24</w:t>
            </w:r>
          </w:p>
        </w:tc>
        <w:tc>
          <w:tcPr>
            <w:tcW w:w="1186" w:type="dxa"/>
            <w:shd w:val="clear" w:color="000000" w:fill="FFFFFF"/>
            <w:vAlign w:val="center"/>
          </w:tcPr>
          <w:p w14:paraId="4D42044B"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25.844,24</w:t>
            </w:r>
          </w:p>
        </w:tc>
      </w:tr>
      <w:tr w:rsidR="00153592" w:rsidRPr="005767EF" w14:paraId="2B400E6F" w14:textId="77777777" w:rsidTr="00153592">
        <w:trPr>
          <w:trHeight w:val="225"/>
        </w:trPr>
        <w:tc>
          <w:tcPr>
            <w:tcW w:w="705" w:type="dxa"/>
            <w:tcBorders>
              <w:bottom w:val="single" w:sz="4" w:space="0" w:color="auto"/>
            </w:tcBorders>
            <w:shd w:val="clear" w:color="000000" w:fill="FFFFFF"/>
            <w:hideMark/>
          </w:tcPr>
          <w:p w14:paraId="69486E0C" w14:textId="77777777" w:rsidR="00153592" w:rsidRPr="005767EF" w:rsidRDefault="00153592" w:rsidP="001538EF">
            <w:pPr>
              <w:jc w:val="left"/>
              <w:rPr>
                <w:rFonts w:asciiTheme="minorHAnsi" w:hAnsiTheme="minorHAnsi"/>
                <w:sz w:val="20"/>
                <w:szCs w:val="20"/>
                <w:lang w:val="sr-Cyrl-RS" w:eastAsia="sr-Latn-RS"/>
              </w:rPr>
            </w:pPr>
            <w:r w:rsidRPr="005767EF">
              <w:rPr>
                <w:rFonts w:asciiTheme="minorHAnsi" w:hAnsiTheme="minorHAnsi"/>
                <w:sz w:val="20"/>
                <w:szCs w:val="20"/>
                <w:lang w:val="sr-Cyrl-RS" w:eastAsia="sr-Latn-RS"/>
              </w:rPr>
              <w:t>2.</w:t>
            </w:r>
          </w:p>
        </w:tc>
        <w:tc>
          <w:tcPr>
            <w:tcW w:w="2904" w:type="dxa"/>
            <w:tcBorders>
              <w:bottom w:val="single" w:sz="4" w:space="0" w:color="auto"/>
            </w:tcBorders>
            <w:shd w:val="clear" w:color="000000" w:fill="FFFFFF"/>
            <w:hideMark/>
          </w:tcPr>
          <w:p w14:paraId="1AB2BCDF" w14:textId="77777777" w:rsidR="00153592" w:rsidRPr="005767EF" w:rsidRDefault="00153592" w:rsidP="001538EF">
            <w:pPr>
              <w:rPr>
                <w:rFonts w:asciiTheme="minorHAnsi" w:hAnsiTheme="minorHAnsi"/>
                <w:sz w:val="20"/>
                <w:szCs w:val="20"/>
                <w:lang w:val="sr-Cyrl-RS" w:eastAsia="sr-Latn-RS"/>
              </w:rPr>
            </w:pPr>
            <w:r w:rsidRPr="005767EF">
              <w:rPr>
                <w:rFonts w:asciiTheme="minorHAnsi" w:hAnsiTheme="minorHAnsi"/>
                <w:sz w:val="20"/>
                <w:szCs w:val="20"/>
                <w:lang w:val="sr-Cyrl-RS" w:eastAsia="sr-Latn-RS"/>
              </w:rPr>
              <w:t>Еко заштита д.о.о. Бијељина</w:t>
            </w:r>
          </w:p>
        </w:tc>
        <w:tc>
          <w:tcPr>
            <w:tcW w:w="1475" w:type="dxa"/>
            <w:tcBorders>
              <w:bottom w:val="single" w:sz="4" w:space="0" w:color="auto"/>
            </w:tcBorders>
            <w:shd w:val="clear" w:color="000000" w:fill="FFFFFF"/>
            <w:vAlign w:val="center"/>
            <w:hideMark/>
          </w:tcPr>
          <w:p w14:paraId="560469D0"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250</w:t>
            </w:r>
            <w:r w:rsidRPr="005767EF">
              <w:rPr>
                <w:rFonts w:asciiTheme="minorHAnsi" w:hAnsiTheme="minorHAnsi"/>
                <w:sz w:val="20"/>
                <w:szCs w:val="20"/>
                <w:lang w:val="sr-Latn-RS" w:eastAsia="sr-Latn-RS"/>
              </w:rPr>
              <w:t>.000,00</w:t>
            </w:r>
          </w:p>
        </w:tc>
        <w:tc>
          <w:tcPr>
            <w:tcW w:w="1175" w:type="dxa"/>
            <w:tcBorders>
              <w:bottom w:val="single" w:sz="4" w:space="0" w:color="auto"/>
            </w:tcBorders>
            <w:shd w:val="clear" w:color="000000" w:fill="FFFFFF"/>
            <w:vAlign w:val="center"/>
          </w:tcPr>
          <w:p w14:paraId="025C3040"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125.000,00</w:t>
            </w:r>
          </w:p>
        </w:tc>
        <w:tc>
          <w:tcPr>
            <w:tcW w:w="1445" w:type="dxa"/>
            <w:tcBorders>
              <w:bottom w:val="single" w:sz="4" w:space="0" w:color="auto"/>
            </w:tcBorders>
            <w:shd w:val="clear" w:color="000000" w:fill="FFFFFF"/>
            <w:vAlign w:val="center"/>
            <w:hideMark/>
          </w:tcPr>
          <w:p w14:paraId="25B3B901"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val="sr-Cyrl-RS" w:eastAsia="sr-Latn-RS"/>
              </w:rPr>
              <w:t>90.454,04</w:t>
            </w:r>
          </w:p>
        </w:tc>
        <w:tc>
          <w:tcPr>
            <w:tcW w:w="1186" w:type="dxa"/>
            <w:tcBorders>
              <w:bottom w:val="single" w:sz="4" w:space="0" w:color="auto"/>
            </w:tcBorders>
            <w:shd w:val="clear" w:color="000000" w:fill="FFFFFF"/>
            <w:vAlign w:val="center"/>
          </w:tcPr>
          <w:p w14:paraId="7ACD2637"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0,00</w:t>
            </w:r>
          </w:p>
        </w:tc>
      </w:tr>
      <w:tr w:rsidR="00153592" w:rsidRPr="005767EF" w14:paraId="4DCFAE8B" w14:textId="77777777" w:rsidTr="00153592">
        <w:trPr>
          <w:trHeight w:val="270"/>
        </w:trPr>
        <w:tc>
          <w:tcPr>
            <w:tcW w:w="705" w:type="dxa"/>
            <w:tcBorders>
              <w:top w:val="single" w:sz="4" w:space="0" w:color="auto"/>
              <w:left w:val="single" w:sz="4" w:space="0" w:color="auto"/>
              <w:right w:val="single" w:sz="4" w:space="0" w:color="auto"/>
            </w:tcBorders>
            <w:shd w:val="clear" w:color="auto" w:fill="auto"/>
          </w:tcPr>
          <w:p w14:paraId="537674F1"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3.</w:t>
            </w:r>
          </w:p>
        </w:tc>
        <w:tc>
          <w:tcPr>
            <w:tcW w:w="2904" w:type="dxa"/>
            <w:tcBorders>
              <w:top w:val="single" w:sz="4" w:space="0" w:color="auto"/>
              <w:left w:val="single" w:sz="4" w:space="0" w:color="auto"/>
              <w:right w:val="single" w:sz="4" w:space="0" w:color="auto"/>
            </w:tcBorders>
            <w:shd w:val="clear" w:color="auto" w:fill="auto"/>
          </w:tcPr>
          <w:p w14:paraId="0271195F"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ИНТЕРЛИГНУМ д.о.о. Теслић</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47E7007E"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val="sr-Cyrl-RS" w:eastAsia="sr-Latn-RS"/>
              </w:rPr>
              <w:t>29.389,45</w:t>
            </w:r>
          </w:p>
        </w:tc>
        <w:tc>
          <w:tcPr>
            <w:tcW w:w="1175" w:type="dxa"/>
            <w:tcBorders>
              <w:top w:val="single" w:sz="4" w:space="0" w:color="auto"/>
              <w:left w:val="single" w:sz="4" w:space="0" w:color="auto"/>
              <w:bottom w:val="single" w:sz="4" w:space="0" w:color="auto"/>
              <w:right w:val="single" w:sz="4" w:space="0" w:color="auto"/>
            </w:tcBorders>
            <w:vAlign w:val="center"/>
          </w:tcPr>
          <w:p w14:paraId="040AB759"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633,67</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2A288615"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633,67</w:t>
            </w:r>
          </w:p>
        </w:tc>
        <w:tc>
          <w:tcPr>
            <w:tcW w:w="1186" w:type="dxa"/>
            <w:tcBorders>
              <w:top w:val="single" w:sz="4" w:space="0" w:color="auto"/>
              <w:left w:val="single" w:sz="4" w:space="0" w:color="auto"/>
              <w:bottom w:val="single" w:sz="4" w:space="0" w:color="auto"/>
              <w:right w:val="single" w:sz="4" w:space="0" w:color="auto"/>
            </w:tcBorders>
            <w:vAlign w:val="center"/>
          </w:tcPr>
          <w:p w14:paraId="6FACA8AC"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633,67</w:t>
            </w:r>
          </w:p>
        </w:tc>
      </w:tr>
      <w:tr w:rsidR="00153592" w:rsidRPr="005767EF" w14:paraId="11A92A25" w14:textId="77777777" w:rsidTr="00153592">
        <w:trPr>
          <w:trHeight w:val="270"/>
        </w:trPr>
        <w:tc>
          <w:tcPr>
            <w:tcW w:w="705" w:type="dxa"/>
            <w:tcBorders>
              <w:left w:val="single" w:sz="4" w:space="0" w:color="auto"/>
              <w:bottom w:val="single" w:sz="4" w:space="0" w:color="auto"/>
              <w:right w:val="single" w:sz="4" w:space="0" w:color="auto"/>
            </w:tcBorders>
            <w:shd w:val="clear" w:color="auto" w:fill="auto"/>
          </w:tcPr>
          <w:p w14:paraId="3367DF3E"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4.</w:t>
            </w:r>
          </w:p>
        </w:tc>
        <w:tc>
          <w:tcPr>
            <w:tcW w:w="2904" w:type="dxa"/>
            <w:tcBorders>
              <w:left w:val="single" w:sz="4" w:space="0" w:color="auto"/>
              <w:bottom w:val="single" w:sz="4" w:space="0" w:color="auto"/>
              <w:right w:val="single" w:sz="4" w:space="0" w:color="auto"/>
            </w:tcBorders>
            <w:shd w:val="clear" w:color="auto" w:fill="auto"/>
          </w:tcPr>
          <w:p w14:paraId="32EC11B6"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ИНТЕРЛИГНУМ д.о.о. Теслић</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257031D6"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val="sr-Cyrl-RS" w:eastAsia="sr-Latn-RS"/>
              </w:rPr>
              <w:t>29.536,40</w:t>
            </w:r>
          </w:p>
        </w:tc>
        <w:tc>
          <w:tcPr>
            <w:tcW w:w="1175" w:type="dxa"/>
            <w:tcBorders>
              <w:top w:val="single" w:sz="4" w:space="0" w:color="auto"/>
              <w:left w:val="single" w:sz="4" w:space="0" w:color="auto"/>
              <w:bottom w:val="single" w:sz="4" w:space="0" w:color="auto"/>
              <w:right w:val="single" w:sz="4" w:space="0" w:color="auto"/>
            </w:tcBorders>
            <w:vAlign w:val="center"/>
          </w:tcPr>
          <w:p w14:paraId="5C34937E"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721,84</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680B1DD1"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721,84</w:t>
            </w:r>
          </w:p>
        </w:tc>
        <w:tc>
          <w:tcPr>
            <w:tcW w:w="1186" w:type="dxa"/>
            <w:tcBorders>
              <w:top w:val="single" w:sz="4" w:space="0" w:color="auto"/>
              <w:left w:val="single" w:sz="4" w:space="0" w:color="auto"/>
              <w:bottom w:val="single" w:sz="4" w:space="0" w:color="auto"/>
              <w:right w:val="single" w:sz="4" w:space="0" w:color="auto"/>
            </w:tcBorders>
            <w:vAlign w:val="center"/>
          </w:tcPr>
          <w:p w14:paraId="0D83BAFD"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721,84</w:t>
            </w:r>
          </w:p>
        </w:tc>
      </w:tr>
      <w:tr w:rsidR="00153592" w:rsidRPr="005767EF" w14:paraId="08A754EA" w14:textId="77777777" w:rsidTr="00153592">
        <w:trPr>
          <w:trHeight w:val="270"/>
        </w:trPr>
        <w:tc>
          <w:tcPr>
            <w:tcW w:w="705" w:type="dxa"/>
            <w:tcBorders>
              <w:left w:val="single" w:sz="4" w:space="0" w:color="auto"/>
              <w:bottom w:val="single" w:sz="4" w:space="0" w:color="auto"/>
              <w:right w:val="single" w:sz="4" w:space="0" w:color="auto"/>
            </w:tcBorders>
            <w:shd w:val="clear" w:color="auto" w:fill="auto"/>
          </w:tcPr>
          <w:p w14:paraId="21C283B1"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5.</w:t>
            </w:r>
          </w:p>
        </w:tc>
        <w:tc>
          <w:tcPr>
            <w:tcW w:w="2904" w:type="dxa"/>
            <w:tcBorders>
              <w:left w:val="single" w:sz="4" w:space="0" w:color="auto"/>
              <w:bottom w:val="single" w:sz="4" w:space="0" w:color="auto"/>
              <w:right w:val="single" w:sz="4" w:space="0" w:color="auto"/>
            </w:tcBorders>
            <w:shd w:val="clear" w:color="auto" w:fill="auto"/>
          </w:tcPr>
          <w:p w14:paraId="3E42E442"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ИНТЕРЛИГНУМ д.о.о. Теслић</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273B9258"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val="sr-Cyrl-RS" w:eastAsia="sr-Latn-RS"/>
              </w:rPr>
              <w:t>29.684,07</w:t>
            </w:r>
          </w:p>
        </w:tc>
        <w:tc>
          <w:tcPr>
            <w:tcW w:w="1175" w:type="dxa"/>
            <w:tcBorders>
              <w:top w:val="single" w:sz="4" w:space="0" w:color="auto"/>
              <w:left w:val="single" w:sz="4" w:space="0" w:color="auto"/>
              <w:bottom w:val="single" w:sz="4" w:space="0" w:color="auto"/>
              <w:right w:val="single" w:sz="4" w:space="0" w:color="auto"/>
            </w:tcBorders>
            <w:vAlign w:val="center"/>
          </w:tcPr>
          <w:p w14:paraId="3369EFB2"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810,44</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021D3C36"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810,44</w:t>
            </w:r>
          </w:p>
        </w:tc>
        <w:tc>
          <w:tcPr>
            <w:tcW w:w="1186" w:type="dxa"/>
            <w:tcBorders>
              <w:top w:val="single" w:sz="4" w:space="0" w:color="auto"/>
              <w:left w:val="single" w:sz="4" w:space="0" w:color="auto"/>
              <w:bottom w:val="single" w:sz="4" w:space="0" w:color="auto"/>
              <w:right w:val="single" w:sz="4" w:space="0" w:color="auto"/>
            </w:tcBorders>
            <w:vAlign w:val="center"/>
          </w:tcPr>
          <w:p w14:paraId="369B8E1A"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val="sr-Latn-RS" w:eastAsia="sr-Latn-RS"/>
              </w:rPr>
              <w:t>17</w:t>
            </w:r>
            <w:r w:rsidRPr="005767EF">
              <w:rPr>
                <w:rFonts w:asciiTheme="minorHAnsi" w:hAnsiTheme="minorHAnsi"/>
                <w:bCs/>
                <w:sz w:val="20"/>
                <w:szCs w:val="20"/>
                <w:lang w:val="sr-Cyrl-RS" w:eastAsia="sr-Latn-RS"/>
              </w:rPr>
              <w:t>.</w:t>
            </w:r>
            <w:r w:rsidRPr="005767EF">
              <w:rPr>
                <w:rFonts w:asciiTheme="minorHAnsi" w:hAnsiTheme="minorHAnsi"/>
                <w:bCs/>
                <w:sz w:val="20"/>
                <w:szCs w:val="20"/>
                <w:lang w:val="sr-Latn-RS" w:eastAsia="sr-Latn-RS"/>
              </w:rPr>
              <w:t>810,44</w:t>
            </w:r>
          </w:p>
        </w:tc>
      </w:tr>
      <w:tr w:rsidR="00153592" w:rsidRPr="005767EF" w14:paraId="5F9D27E1" w14:textId="77777777" w:rsidTr="003B2F4F">
        <w:trPr>
          <w:trHeight w:val="270"/>
        </w:trPr>
        <w:tc>
          <w:tcPr>
            <w:tcW w:w="3609" w:type="dxa"/>
            <w:gridSpan w:val="2"/>
            <w:tcBorders>
              <w:top w:val="single" w:sz="4" w:space="0" w:color="auto"/>
            </w:tcBorders>
            <w:shd w:val="clear" w:color="auto" w:fill="548DD4" w:themeFill="text2" w:themeFillTint="99"/>
            <w:hideMark/>
          </w:tcPr>
          <w:p w14:paraId="16715AD8" w14:textId="77777777" w:rsidR="00153592" w:rsidRPr="005767EF" w:rsidRDefault="00153592" w:rsidP="001538EF">
            <w:pPr>
              <w:jc w:val="left"/>
              <w:rPr>
                <w:rFonts w:asciiTheme="minorHAnsi" w:hAnsiTheme="minorHAnsi"/>
                <w:b/>
                <w:bCs/>
                <w:sz w:val="20"/>
                <w:szCs w:val="20"/>
                <w:lang w:val="sr-Latn-RS" w:eastAsia="sr-Latn-RS"/>
              </w:rPr>
            </w:pPr>
            <w:r w:rsidRPr="005767EF">
              <w:rPr>
                <w:rFonts w:asciiTheme="minorHAnsi" w:hAnsiTheme="minorHAnsi"/>
                <w:b/>
                <w:bCs/>
                <w:sz w:val="20"/>
                <w:szCs w:val="20"/>
                <w:lang w:val="sr-Cyrl-BA" w:eastAsia="sr-Latn-RS"/>
              </w:rPr>
              <w:t>УКУПНО                                               5</w:t>
            </w:r>
          </w:p>
        </w:tc>
        <w:tc>
          <w:tcPr>
            <w:tcW w:w="1475" w:type="dxa"/>
            <w:tcBorders>
              <w:top w:val="single" w:sz="4" w:space="0" w:color="auto"/>
            </w:tcBorders>
            <w:shd w:val="clear" w:color="auto" w:fill="548DD4" w:themeFill="text2" w:themeFillTint="99"/>
            <w:hideMark/>
          </w:tcPr>
          <w:p w14:paraId="15B6CF09"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438.609,92</w:t>
            </w:r>
          </w:p>
        </w:tc>
        <w:tc>
          <w:tcPr>
            <w:tcW w:w="1175" w:type="dxa"/>
            <w:tcBorders>
              <w:top w:val="single" w:sz="4" w:space="0" w:color="auto"/>
            </w:tcBorders>
            <w:shd w:val="clear" w:color="auto" w:fill="548DD4" w:themeFill="text2" w:themeFillTint="99"/>
          </w:tcPr>
          <w:p w14:paraId="21315973"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228.165,95</w:t>
            </w:r>
          </w:p>
        </w:tc>
        <w:tc>
          <w:tcPr>
            <w:tcW w:w="1445" w:type="dxa"/>
            <w:tcBorders>
              <w:top w:val="single" w:sz="4" w:space="0" w:color="auto"/>
            </w:tcBorders>
            <w:shd w:val="clear" w:color="auto" w:fill="548DD4" w:themeFill="text2" w:themeFillTint="99"/>
            <w:hideMark/>
          </w:tcPr>
          <w:p w14:paraId="7D4147B2"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169.464,23</w:t>
            </w:r>
          </w:p>
        </w:tc>
        <w:tc>
          <w:tcPr>
            <w:tcW w:w="1186" w:type="dxa"/>
            <w:tcBorders>
              <w:top w:val="single" w:sz="4" w:space="0" w:color="auto"/>
            </w:tcBorders>
            <w:shd w:val="clear" w:color="auto" w:fill="548DD4" w:themeFill="text2" w:themeFillTint="99"/>
          </w:tcPr>
          <w:p w14:paraId="4C687D56" w14:textId="77777777" w:rsidR="00153592" w:rsidRPr="005767EF" w:rsidRDefault="00B44F5F"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79.010,19</w:t>
            </w:r>
          </w:p>
        </w:tc>
      </w:tr>
    </w:tbl>
    <w:p w14:paraId="2B0FC233" w14:textId="77777777" w:rsidR="001D04EC" w:rsidRDefault="001D04EC" w:rsidP="008A780A">
      <w:pPr>
        <w:autoSpaceDE w:val="0"/>
        <w:autoSpaceDN w:val="0"/>
        <w:adjustRightInd w:val="0"/>
        <w:rPr>
          <w:rFonts w:asciiTheme="minorHAnsi" w:eastAsiaTheme="minorHAnsi" w:hAnsiTheme="minorHAnsi"/>
          <w:color w:val="auto"/>
          <w:sz w:val="20"/>
          <w:szCs w:val="20"/>
          <w:lang w:val="sr-Cyrl-BA" w:eastAsia="en-US"/>
        </w:rPr>
      </w:pPr>
    </w:p>
    <w:p w14:paraId="1699E1BE" w14:textId="77777777" w:rsidR="00B44F5F" w:rsidRDefault="001538EF" w:rsidP="008A780A">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У 202</w:t>
      </w:r>
      <w:r w:rsidR="00D362E3" w:rsidRPr="005767EF">
        <w:rPr>
          <w:rFonts w:asciiTheme="minorHAnsi" w:eastAsiaTheme="minorHAnsi" w:hAnsiTheme="minorHAnsi"/>
          <w:color w:val="auto"/>
          <w:sz w:val="20"/>
          <w:szCs w:val="20"/>
          <w:lang w:val="sr-Cyrl-BA" w:eastAsia="en-US"/>
        </w:rPr>
        <w:t>3</w:t>
      </w:r>
      <w:r w:rsidRPr="005767EF">
        <w:rPr>
          <w:rFonts w:asciiTheme="minorHAnsi" w:eastAsiaTheme="minorHAnsi" w:hAnsiTheme="minorHAnsi"/>
          <w:color w:val="auto"/>
          <w:sz w:val="20"/>
          <w:szCs w:val="20"/>
          <w:lang w:val="sr-Cyrl-BA" w:eastAsia="en-US"/>
        </w:rPr>
        <w:t xml:space="preserve">. години </w:t>
      </w:r>
      <w:r w:rsidR="00D362E3" w:rsidRPr="005767EF">
        <w:rPr>
          <w:rFonts w:asciiTheme="minorHAnsi" w:eastAsiaTheme="minorHAnsi" w:hAnsiTheme="minorHAnsi"/>
          <w:color w:val="auto"/>
          <w:sz w:val="20"/>
          <w:szCs w:val="20"/>
          <w:lang w:val="sr-Cyrl-BA" w:eastAsia="en-US"/>
        </w:rPr>
        <w:t xml:space="preserve">је извршен протест 5 гаранција одобрених у номиналном износу од 228.165,95 КМ. Протестовани износ наведених гаранција је 169.464,23 КМ, што одговара стању гаранција на дан подношења захтјева за плаћање. </w:t>
      </w:r>
      <w:r w:rsidR="00B44F5F" w:rsidRPr="005767EF">
        <w:rPr>
          <w:rFonts w:asciiTheme="minorHAnsi" w:eastAsiaTheme="minorHAnsi" w:hAnsiTheme="minorHAnsi"/>
          <w:color w:val="auto"/>
          <w:sz w:val="20"/>
          <w:szCs w:val="20"/>
          <w:lang w:val="sr-Cyrl-BA" w:eastAsia="en-US"/>
        </w:rPr>
        <w:t>Од наведених гаранција, плаћене су 4 гаранције у укупном износу од 79.010,19 КМ.</w:t>
      </w:r>
    </w:p>
    <w:p w14:paraId="2875E6E1" w14:textId="77777777" w:rsidR="008A780A" w:rsidRDefault="008A780A" w:rsidP="008A780A">
      <w:pPr>
        <w:autoSpaceDE w:val="0"/>
        <w:autoSpaceDN w:val="0"/>
        <w:adjustRightInd w:val="0"/>
        <w:rPr>
          <w:rFonts w:asciiTheme="minorHAnsi" w:eastAsiaTheme="minorHAnsi" w:hAnsiTheme="minorHAnsi"/>
          <w:color w:val="auto"/>
          <w:sz w:val="20"/>
          <w:szCs w:val="20"/>
          <w:lang w:val="sr-Cyrl-BA" w:eastAsia="en-US"/>
        </w:rPr>
      </w:pPr>
    </w:p>
    <w:p w14:paraId="4E2709B3" w14:textId="77777777" w:rsidR="00B44F5F" w:rsidRDefault="00B44F5F" w:rsidP="008A780A">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Захтјев за плаћање гаранције за клијента Перпер плус д.о.о. Лакташи у износу од 25.844,24 КМ је упутила МФ банка а.д. Бања Лука, дана 06.11.2023. године. Након што је утврђено да су испуњени сви услови, Гарантни фонд Републике Српске је извршио плаћање наведеног износа. Дана 20.11.2023. године, МФ банка а.д. Бања Лука је упутила захтјев за плаћање гаранције у износу 90.454,04 КМ за клијента Еко заштита д.о.о. Бијељина. Формалном контролом је утврђено да клијент није намјенски утрошио кредитна средства, те је захтјев за плаћање одбијен.</w:t>
      </w:r>
    </w:p>
    <w:p w14:paraId="4AABE833" w14:textId="77777777" w:rsidR="008A780A" w:rsidRDefault="008A780A" w:rsidP="008A780A">
      <w:pPr>
        <w:autoSpaceDE w:val="0"/>
        <w:autoSpaceDN w:val="0"/>
        <w:adjustRightInd w:val="0"/>
        <w:rPr>
          <w:rFonts w:asciiTheme="minorHAnsi" w:eastAsiaTheme="minorHAnsi" w:hAnsiTheme="minorHAnsi"/>
          <w:color w:val="auto"/>
          <w:sz w:val="20"/>
          <w:szCs w:val="20"/>
          <w:lang w:val="sr-Cyrl-BA" w:eastAsia="en-US"/>
        </w:rPr>
      </w:pPr>
    </w:p>
    <w:p w14:paraId="3FF7D401" w14:textId="77777777" w:rsidR="001538EF" w:rsidRDefault="00876546" w:rsidP="001538EF">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У складу са Изм</w:t>
      </w:r>
      <w:r w:rsidR="0041746A">
        <w:rPr>
          <w:rFonts w:asciiTheme="minorHAnsi" w:eastAsiaTheme="minorHAnsi" w:hAnsiTheme="minorHAnsi"/>
          <w:color w:val="auto"/>
          <w:sz w:val="20"/>
          <w:szCs w:val="20"/>
          <w:lang w:val="sr-Cyrl-BA" w:eastAsia="en-US"/>
        </w:rPr>
        <w:t>јенама и допунама Закона о Гара</w:t>
      </w:r>
      <w:r w:rsidRPr="005767EF">
        <w:rPr>
          <w:rFonts w:asciiTheme="minorHAnsi" w:eastAsiaTheme="minorHAnsi" w:hAnsiTheme="minorHAnsi"/>
          <w:color w:val="auto"/>
          <w:sz w:val="20"/>
          <w:szCs w:val="20"/>
          <w:lang w:val="sr-Cyrl-BA" w:eastAsia="en-US"/>
        </w:rPr>
        <w:t>нт</w:t>
      </w:r>
      <w:r w:rsidR="0041746A">
        <w:rPr>
          <w:rFonts w:asciiTheme="minorHAnsi" w:eastAsiaTheme="minorHAnsi" w:hAnsiTheme="minorHAnsi"/>
          <w:color w:val="auto"/>
          <w:sz w:val="20"/>
          <w:szCs w:val="20"/>
          <w:lang w:val="sr-Cyrl-BA" w:eastAsia="en-US"/>
        </w:rPr>
        <w:t>н</w:t>
      </w:r>
      <w:r w:rsidRPr="005767EF">
        <w:rPr>
          <w:rFonts w:asciiTheme="minorHAnsi" w:eastAsiaTheme="minorHAnsi" w:hAnsiTheme="minorHAnsi"/>
          <w:color w:val="auto"/>
          <w:sz w:val="20"/>
          <w:szCs w:val="20"/>
          <w:lang w:val="sr-Cyrl-BA" w:eastAsia="en-US"/>
        </w:rPr>
        <w:t>ом фонду Републике Српске</w:t>
      </w:r>
      <w:r w:rsidR="0041746A">
        <w:rPr>
          <w:rFonts w:asciiTheme="minorHAnsi" w:eastAsiaTheme="minorHAnsi" w:hAnsiTheme="minorHAnsi"/>
          <w:color w:val="auto"/>
          <w:sz w:val="20"/>
          <w:szCs w:val="20"/>
          <w:lang w:val="sr-Cyrl-BA" w:eastAsia="en-US"/>
        </w:rPr>
        <w:t xml:space="preserve"> </w:t>
      </w:r>
      <w:r w:rsidR="0041746A" w:rsidRPr="0041746A">
        <w:rPr>
          <w:rFonts w:asciiTheme="minorHAnsi" w:eastAsiaTheme="minorHAnsi" w:hAnsiTheme="minorHAnsi"/>
          <w:color w:val="auto"/>
          <w:sz w:val="20"/>
          <w:szCs w:val="20"/>
          <w:lang w:val="sr-Cyrl-BA" w:eastAsia="en-US"/>
        </w:rPr>
        <w:t>(„Службени гласник РС“ број 107/2019)</w:t>
      </w:r>
      <w:r w:rsidR="0041746A">
        <w:rPr>
          <w:rFonts w:asciiTheme="minorHAnsi" w:eastAsiaTheme="minorHAnsi" w:hAnsiTheme="minorHAnsi"/>
          <w:color w:val="auto"/>
          <w:sz w:val="20"/>
          <w:szCs w:val="20"/>
          <w:lang w:val="sr-Cyrl-BA" w:eastAsia="en-US"/>
        </w:rPr>
        <w:t>,</w:t>
      </w:r>
      <w:r w:rsidRPr="005767EF">
        <w:rPr>
          <w:rFonts w:asciiTheme="minorHAnsi" w:eastAsiaTheme="minorHAnsi" w:hAnsiTheme="minorHAnsi"/>
          <w:color w:val="auto"/>
          <w:sz w:val="20"/>
          <w:szCs w:val="20"/>
          <w:lang w:val="sr-Cyrl-BA" w:eastAsia="en-US"/>
        </w:rPr>
        <w:t xml:space="preserve"> омогућено је издавање гаранција ради дјелимичног обезбјеђења емитованих хартија од вриједности</w:t>
      </w:r>
      <w:r w:rsidR="0071581A" w:rsidRPr="005767EF">
        <w:rPr>
          <w:rFonts w:asciiTheme="minorHAnsi" w:eastAsiaTheme="minorHAnsi" w:hAnsiTheme="minorHAnsi"/>
          <w:color w:val="auto"/>
          <w:sz w:val="20"/>
          <w:szCs w:val="20"/>
          <w:lang w:val="sr-Cyrl-BA" w:eastAsia="en-US"/>
        </w:rPr>
        <w:t>. У складу с тим, г</w:t>
      </w:r>
      <w:r w:rsidRPr="005767EF">
        <w:rPr>
          <w:rFonts w:asciiTheme="minorHAnsi" w:eastAsiaTheme="minorHAnsi" w:hAnsiTheme="minorHAnsi"/>
          <w:color w:val="auto"/>
          <w:sz w:val="20"/>
          <w:szCs w:val="20"/>
          <w:lang w:val="sr-Cyrl-BA" w:eastAsia="en-US"/>
        </w:rPr>
        <w:t xml:space="preserve">аранција за налогодавца Интерлигнум д.о.о. Теслић је издана као дјелимично обезбјеђење емитованих обвезница клијента, а издана је у корист Централног регистра за хартије од вриједности, који има улогу платног агента. Специфичност </w:t>
      </w:r>
      <w:r w:rsidR="0041746A">
        <w:rPr>
          <w:rFonts w:asciiTheme="minorHAnsi" w:eastAsiaTheme="minorHAnsi" w:hAnsiTheme="minorHAnsi"/>
          <w:color w:val="auto"/>
          <w:sz w:val="20"/>
          <w:szCs w:val="20"/>
          <w:lang w:val="sr-Cyrl-BA" w:eastAsia="en-US"/>
        </w:rPr>
        <w:t xml:space="preserve">овог </w:t>
      </w:r>
      <w:r w:rsidRPr="005767EF">
        <w:rPr>
          <w:rFonts w:asciiTheme="minorHAnsi" w:eastAsiaTheme="minorHAnsi" w:hAnsiTheme="minorHAnsi"/>
          <w:color w:val="auto"/>
          <w:sz w:val="20"/>
          <w:szCs w:val="20"/>
          <w:lang w:val="sr-Cyrl-BA" w:eastAsia="en-US"/>
        </w:rPr>
        <w:t xml:space="preserve">гарантног посла је у томе што </w:t>
      </w:r>
      <w:r w:rsidR="001D04EC">
        <w:rPr>
          <w:rFonts w:asciiTheme="minorHAnsi" w:eastAsiaTheme="minorHAnsi" w:hAnsiTheme="minorHAnsi"/>
          <w:color w:val="auto"/>
          <w:sz w:val="20"/>
          <w:szCs w:val="20"/>
          <w:lang w:val="sr-Cyrl-BA" w:eastAsia="en-US"/>
        </w:rPr>
        <w:t xml:space="preserve">су гаранције везане за мјесечни ануитет, те се издаје </w:t>
      </w:r>
      <w:r w:rsidRPr="005767EF">
        <w:rPr>
          <w:rFonts w:asciiTheme="minorHAnsi" w:eastAsiaTheme="minorHAnsi" w:hAnsiTheme="minorHAnsi"/>
          <w:color w:val="auto"/>
          <w:sz w:val="20"/>
          <w:szCs w:val="20"/>
          <w:lang w:val="sr-Cyrl-BA" w:eastAsia="en-US"/>
        </w:rPr>
        <w:t>појединачна гаранција у вриједности 60% сваког мјесечног ануитета</w:t>
      </w:r>
      <w:r w:rsidR="0071581A" w:rsidRPr="005767EF">
        <w:rPr>
          <w:rFonts w:asciiTheme="minorHAnsi" w:eastAsiaTheme="minorHAnsi" w:hAnsiTheme="minorHAnsi"/>
          <w:color w:val="auto"/>
          <w:sz w:val="20"/>
          <w:szCs w:val="20"/>
          <w:lang w:val="sr-Cyrl-BA" w:eastAsia="en-US"/>
        </w:rPr>
        <w:t>.</w:t>
      </w:r>
      <w:r w:rsidR="001D04EC">
        <w:rPr>
          <w:rFonts w:asciiTheme="minorHAnsi" w:eastAsiaTheme="minorHAnsi" w:hAnsiTheme="minorHAnsi"/>
          <w:color w:val="auto"/>
          <w:sz w:val="20"/>
          <w:szCs w:val="20"/>
          <w:lang w:val="sr-Cyrl-BA" w:eastAsia="en-US"/>
        </w:rPr>
        <w:t xml:space="preserve"> Иако је дефинисана јединствена гаранција на нивоу цјелок</w:t>
      </w:r>
      <w:r w:rsidR="00E50755">
        <w:rPr>
          <w:rFonts w:asciiTheme="minorHAnsi" w:eastAsiaTheme="minorHAnsi" w:hAnsiTheme="minorHAnsi"/>
          <w:color w:val="auto"/>
          <w:sz w:val="20"/>
          <w:szCs w:val="20"/>
          <w:lang w:val="sr-Cyrl-BA" w:eastAsia="en-US"/>
        </w:rPr>
        <w:t>упне емисије, у стварности има</w:t>
      </w:r>
      <w:r w:rsidR="001D04EC">
        <w:rPr>
          <w:rFonts w:asciiTheme="minorHAnsi" w:eastAsiaTheme="minorHAnsi" w:hAnsiTheme="minorHAnsi"/>
          <w:color w:val="auto"/>
          <w:sz w:val="20"/>
          <w:szCs w:val="20"/>
          <w:lang w:val="sr-Cyrl-BA" w:eastAsia="en-US"/>
        </w:rPr>
        <w:t xml:space="preserve"> онолико гаранција колико има мјесечних ануитета.</w:t>
      </w:r>
      <w:r w:rsidR="0071581A" w:rsidRPr="005767EF">
        <w:rPr>
          <w:rFonts w:asciiTheme="minorHAnsi" w:eastAsiaTheme="minorHAnsi" w:hAnsiTheme="minorHAnsi"/>
          <w:color w:val="auto"/>
          <w:sz w:val="20"/>
          <w:szCs w:val="20"/>
          <w:lang w:val="sr-Cyrl-BA" w:eastAsia="en-US"/>
        </w:rPr>
        <w:t xml:space="preserve"> </w:t>
      </w:r>
      <w:r w:rsidR="00BE64CF" w:rsidRPr="005767EF">
        <w:rPr>
          <w:rFonts w:asciiTheme="minorHAnsi" w:eastAsiaTheme="minorHAnsi" w:hAnsiTheme="minorHAnsi"/>
          <w:color w:val="auto"/>
          <w:sz w:val="20"/>
          <w:szCs w:val="20"/>
          <w:lang w:val="sr-Cyrl-BA" w:eastAsia="en-US"/>
        </w:rPr>
        <w:t xml:space="preserve">Током октобра, новембра и децембра </w:t>
      </w:r>
      <w:r w:rsidR="0071581A" w:rsidRPr="005767EF">
        <w:rPr>
          <w:rFonts w:asciiTheme="minorHAnsi" w:eastAsiaTheme="minorHAnsi" w:hAnsiTheme="minorHAnsi"/>
          <w:color w:val="auto"/>
          <w:sz w:val="20"/>
          <w:szCs w:val="20"/>
          <w:lang w:val="sr-Cyrl-BA" w:eastAsia="en-US"/>
        </w:rPr>
        <w:t>2023. године, Централни регистар ХОВ је поднио захтјеве за плаћање 3 гаранције везане за ануитете</w:t>
      </w:r>
      <w:r w:rsidR="001D04EC">
        <w:rPr>
          <w:rFonts w:asciiTheme="minorHAnsi" w:eastAsiaTheme="minorHAnsi" w:hAnsiTheme="minorHAnsi"/>
          <w:color w:val="auto"/>
          <w:sz w:val="20"/>
          <w:szCs w:val="20"/>
          <w:lang w:val="sr-Cyrl-BA" w:eastAsia="en-US"/>
        </w:rPr>
        <w:t xml:space="preserve"> који су доспјели током ова три мјесеца</w:t>
      </w:r>
      <w:r w:rsidR="0071581A" w:rsidRPr="005767EF">
        <w:rPr>
          <w:rFonts w:asciiTheme="minorHAnsi" w:eastAsiaTheme="minorHAnsi" w:hAnsiTheme="minorHAnsi"/>
          <w:color w:val="auto"/>
          <w:sz w:val="20"/>
          <w:szCs w:val="20"/>
          <w:lang w:val="sr-Cyrl-BA" w:eastAsia="en-US"/>
        </w:rPr>
        <w:t xml:space="preserve">. Протестовани износ 3 наведене гаранције одговара номиналном, а по овом основу </w:t>
      </w:r>
      <w:r w:rsidR="00E50755">
        <w:rPr>
          <w:rFonts w:asciiTheme="minorHAnsi" w:eastAsiaTheme="minorHAnsi" w:hAnsiTheme="minorHAnsi"/>
          <w:color w:val="auto"/>
          <w:sz w:val="20"/>
          <w:szCs w:val="20"/>
          <w:lang w:val="sr-Cyrl-BA" w:eastAsia="en-US"/>
        </w:rPr>
        <w:t xml:space="preserve">је плаћено </w:t>
      </w:r>
      <w:r w:rsidR="003B2F4F">
        <w:rPr>
          <w:rFonts w:asciiTheme="minorHAnsi" w:eastAsiaTheme="minorHAnsi" w:hAnsiTheme="minorHAnsi"/>
          <w:color w:val="auto"/>
          <w:sz w:val="20"/>
          <w:szCs w:val="20"/>
          <w:lang w:val="sr-Cyrl-BA" w:eastAsia="en-US"/>
        </w:rPr>
        <w:t>53.165,95 КМ</w:t>
      </w:r>
      <w:r w:rsidR="000F5C04">
        <w:rPr>
          <w:rFonts w:asciiTheme="minorHAnsi" w:eastAsiaTheme="minorHAnsi" w:hAnsiTheme="minorHAnsi"/>
          <w:color w:val="auto"/>
          <w:sz w:val="20"/>
          <w:szCs w:val="20"/>
          <w:lang w:val="sr-Cyrl-BA" w:eastAsia="en-US"/>
        </w:rPr>
        <w:t>.</w:t>
      </w:r>
    </w:p>
    <w:p w14:paraId="218CFE49"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3903FAC8"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68B89056"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0B86309A"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tbl>
      <w:tblPr>
        <w:tblpPr w:leftFromText="180" w:rightFromText="180" w:vertAnchor="text" w:horzAnchor="margin" w:tblpX="108" w:tblpY="103"/>
        <w:tblW w:w="8755" w:type="dxa"/>
        <w:tblLook w:val="04A0" w:firstRow="1" w:lastRow="0" w:firstColumn="1" w:lastColumn="0" w:noHBand="0" w:noVBand="1"/>
      </w:tblPr>
      <w:tblGrid>
        <w:gridCol w:w="2235"/>
        <w:gridCol w:w="2268"/>
        <w:gridCol w:w="2268"/>
        <w:gridCol w:w="1984"/>
      </w:tblGrid>
      <w:tr w:rsidR="00444987" w:rsidRPr="005767EF" w14:paraId="22E02883" w14:textId="77777777" w:rsidTr="008E0518">
        <w:trPr>
          <w:trHeight w:val="570"/>
        </w:trPr>
        <w:tc>
          <w:tcPr>
            <w:tcW w:w="8755" w:type="dxa"/>
            <w:gridSpan w:val="4"/>
            <w:tcBorders>
              <w:top w:val="nil"/>
              <w:left w:val="nil"/>
              <w:bottom w:val="nil"/>
              <w:right w:val="nil"/>
            </w:tcBorders>
            <w:shd w:val="clear" w:color="000000" w:fill="FFFFFF"/>
            <w:vAlign w:val="center"/>
          </w:tcPr>
          <w:p w14:paraId="36033300" w14:textId="77777777" w:rsidR="00444987" w:rsidRPr="005767EF" w:rsidRDefault="00444987" w:rsidP="00BE15F9">
            <w:pPr>
              <w:jc w:val="left"/>
              <w:rPr>
                <w:rFonts w:asciiTheme="minorHAnsi" w:hAnsiTheme="minorHAnsi"/>
                <w:b/>
                <w:bCs/>
                <w:sz w:val="20"/>
                <w:szCs w:val="20"/>
                <w:lang w:val="sr-Cyrl-BA" w:eastAsia="sr-Latn-RS"/>
              </w:rPr>
            </w:pPr>
          </w:p>
          <w:tbl>
            <w:tblPr>
              <w:tblW w:w="8006" w:type="dxa"/>
              <w:tblInd w:w="108" w:type="dxa"/>
              <w:tblLook w:val="04A0" w:firstRow="1" w:lastRow="0" w:firstColumn="1" w:lastColumn="0" w:noHBand="0" w:noVBand="1"/>
            </w:tblPr>
            <w:tblGrid>
              <w:gridCol w:w="8006"/>
            </w:tblGrid>
            <w:tr w:rsidR="00444987" w:rsidRPr="005767EF" w14:paraId="62F734BF" w14:textId="77777777" w:rsidTr="002A1C02">
              <w:trPr>
                <w:trHeight w:val="465"/>
              </w:trPr>
              <w:tc>
                <w:tcPr>
                  <w:tcW w:w="8006" w:type="dxa"/>
                  <w:tcBorders>
                    <w:top w:val="nil"/>
                    <w:left w:val="nil"/>
                    <w:bottom w:val="nil"/>
                    <w:right w:val="nil"/>
                  </w:tcBorders>
                  <w:shd w:val="clear" w:color="000000" w:fill="FFFFFF"/>
                  <w:vAlign w:val="center"/>
                  <w:hideMark/>
                </w:tcPr>
                <w:p w14:paraId="33C8638A" w14:textId="77777777" w:rsidR="00444987" w:rsidRDefault="00444987" w:rsidP="00F823E7">
                  <w:pPr>
                    <w:framePr w:hSpace="180" w:wrap="around" w:vAnchor="text" w:hAnchor="margin" w:x="108" w:y="103"/>
                    <w:jc w:val="center"/>
                    <w:rPr>
                      <w:rFonts w:asciiTheme="minorHAnsi" w:hAnsiTheme="minorHAnsi"/>
                      <w:b/>
                      <w:bCs/>
                      <w:sz w:val="20"/>
                      <w:szCs w:val="20"/>
                      <w:lang w:val="sr-Cyrl-RS" w:eastAsia="sr-Latn-RS"/>
                    </w:rPr>
                  </w:pPr>
                  <w:r w:rsidRPr="005767EF">
                    <w:rPr>
                      <w:rFonts w:asciiTheme="minorHAnsi" w:hAnsiTheme="minorHAnsi"/>
                      <w:b/>
                      <w:bCs/>
                      <w:sz w:val="20"/>
                      <w:szCs w:val="20"/>
                      <w:lang w:val="sr-Cyrl-RS" w:eastAsia="sr-Latn-RS"/>
                    </w:rPr>
                    <w:t xml:space="preserve">         </w:t>
                  </w:r>
                  <w:r w:rsidRPr="005767EF">
                    <w:rPr>
                      <w:rFonts w:asciiTheme="minorHAnsi" w:hAnsiTheme="minorHAnsi"/>
                      <w:b/>
                      <w:bCs/>
                      <w:sz w:val="20"/>
                      <w:szCs w:val="20"/>
                      <w:lang w:val="sr-Latn-RS" w:eastAsia="sr-Latn-RS"/>
                    </w:rPr>
                    <w:t>Кумулативни преглед издан</w:t>
                  </w:r>
                  <w:r w:rsidRPr="005767EF">
                    <w:rPr>
                      <w:rFonts w:asciiTheme="minorHAnsi" w:hAnsiTheme="minorHAnsi"/>
                      <w:b/>
                      <w:bCs/>
                      <w:sz w:val="20"/>
                      <w:szCs w:val="20"/>
                      <w:lang w:val="sr-Cyrl-BA" w:eastAsia="sr-Latn-RS"/>
                    </w:rPr>
                    <w:t>и</w:t>
                  </w:r>
                  <w:r w:rsidRPr="005767EF">
                    <w:rPr>
                      <w:rFonts w:asciiTheme="minorHAnsi" w:hAnsiTheme="minorHAnsi"/>
                      <w:b/>
                      <w:bCs/>
                      <w:sz w:val="20"/>
                      <w:szCs w:val="20"/>
                      <w:lang w:val="sr-Latn-RS" w:eastAsia="sr-Latn-RS"/>
                    </w:rPr>
                    <w:t xml:space="preserve">х гаранција </w:t>
                  </w:r>
                  <w:r>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w:t>
                  </w:r>
                  <w:r>
                    <w:rPr>
                      <w:rFonts w:asciiTheme="minorHAnsi" w:hAnsiTheme="minorHAnsi"/>
                      <w:b/>
                      <w:bCs/>
                      <w:sz w:val="20"/>
                      <w:szCs w:val="20"/>
                      <w:lang w:val="sr-Cyrl-RS" w:eastAsia="sr-Latn-RS"/>
                    </w:rPr>
                    <w:t xml:space="preserve">оквиру гарантних линија у </w:t>
                  </w:r>
                  <w:r w:rsidRPr="005767EF">
                    <w:rPr>
                      <w:rFonts w:asciiTheme="minorHAnsi" w:hAnsiTheme="minorHAnsi"/>
                      <w:b/>
                      <w:bCs/>
                      <w:sz w:val="20"/>
                      <w:szCs w:val="20"/>
                      <w:lang w:val="sr-Latn-RS" w:eastAsia="sr-Latn-RS"/>
                    </w:rPr>
                    <w:t>период</w:t>
                  </w:r>
                  <w:r>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w:t>
                  </w:r>
                </w:p>
                <w:p w14:paraId="299F6520" w14:textId="77777777" w:rsidR="00444987" w:rsidRPr="005767EF" w:rsidRDefault="00444987" w:rsidP="00F823E7">
                  <w:pPr>
                    <w:framePr w:hSpace="180" w:wrap="around" w:vAnchor="text" w:hAnchor="margin" w:x="108" w:y="103"/>
                    <w:jc w:val="center"/>
                    <w:rPr>
                      <w:rFonts w:asciiTheme="minorHAnsi" w:hAnsiTheme="minorHAnsi"/>
                      <w:b/>
                      <w:bCs/>
                      <w:sz w:val="20"/>
                      <w:szCs w:val="20"/>
                      <w:lang w:val="sr-Latn-RS" w:eastAsia="sr-Latn-RS"/>
                    </w:rPr>
                  </w:pPr>
                  <w:r w:rsidRPr="005767EF">
                    <w:rPr>
                      <w:rFonts w:asciiTheme="minorHAnsi" w:hAnsiTheme="minorHAnsi"/>
                      <w:b/>
                      <w:bCs/>
                      <w:sz w:val="20"/>
                      <w:szCs w:val="20"/>
                      <w:lang w:val="sr-Latn-RS" w:eastAsia="sr-Latn-RS"/>
                    </w:rPr>
                    <w:t>201</w:t>
                  </w:r>
                  <w:r w:rsidR="00C71500">
                    <w:rPr>
                      <w:rFonts w:asciiTheme="minorHAnsi" w:hAnsiTheme="minorHAnsi"/>
                      <w:b/>
                      <w:bCs/>
                      <w:sz w:val="20"/>
                      <w:szCs w:val="20"/>
                      <w:lang w:val="sr-Cyrl-RS" w:eastAsia="sr-Latn-RS"/>
                    </w:rPr>
                    <w:t>1</w:t>
                  </w:r>
                  <w:r w:rsidRPr="005767EF">
                    <w:rPr>
                      <w:rFonts w:asciiTheme="minorHAnsi" w:hAnsiTheme="minorHAnsi"/>
                      <w:b/>
                      <w:bCs/>
                      <w:sz w:val="20"/>
                      <w:szCs w:val="20"/>
                      <w:lang w:val="sr-Latn-RS" w:eastAsia="sr-Latn-RS"/>
                    </w:rPr>
                    <w:t>. - 202</w:t>
                  </w:r>
                  <w:r w:rsidRPr="005767EF">
                    <w:rPr>
                      <w:rFonts w:asciiTheme="minorHAnsi" w:hAnsiTheme="minorHAnsi"/>
                      <w:b/>
                      <w:bCs/>
                      <w:sz w:val="20"/>
                      <w:szCs w:val="20"/>
                      <w:lang w:val="sr-Cyrl-RS" w:eastAsia="sr-Latn-RS"/>
                    </w:rPr>
                    <w:t>3</w:t>
                  </w:r>
                  <w:r w:rsidRPr="005767EF">
                    <w:rPr>
                      <w:rFonts w:asciiTheme="minorHAnsi" w:hAnsiTheme="minorHAnsi"/>
                      <w:b/>
                      <w:bCs/>
                      <w:sz w:val="20"/>
                      <w:szCs w:val="20"/>
                      <w:lang w:val="sr-Latn-RS" w:eastAsia="sr-Latn-RS"/>
                    </w:rPr>
                    <w:t>. година</w:t>
                  </w:r>
                </w:p>
              </w:tc>
            </w:tr>
          </w:tbl>
          <w:p w14:paraId="40AF5F19" w14:textId="77777777" w:rsidR="00444987" w:rsidRPr="005767EF" w:rsidRDefault="00444987" w:rsidP="00BE15F9">
            <w:pPr>
              <w:jc w:val="left"/>
              <w:rPr>
                <w:rFonts w:asciiTheme="minorHAnsi" w:hAnsiTheme="minorHAnsi"/>
                <w:b/>
                <w:bCs/>
                <w:sz w:val="20"/>
                <w:szCs w:val="20"/>
                <w:lang w:val="sr-Cyrl-BA" w:eastAsia="sr-Latn-RS"/>
              </w:rPr>
            </w:pPr>
          </w:p>
        </w:tc>
      </w:tr>
      <w:tr w:rsidR="00444987" w:rsidRPr="005767EF" w14:paraId="7BB132CC" w14:textId="77777777" w:rsidTr="00BE15F9">
        <w:trPr>
          <w:trHeight w:val="267"/>
        </w:trPr>
        <w:tc>
          <w:tcPr>
            <w:tcW w:w="8755" w:type="dxa"/>
            <w:gridSpan w:val="4"/>
            <w:tcBorders>
              <w:top w:val="nil"/>
              <w:left w:val="nil"/>
              <w:bottom w:val="nil"/>
              <w:right w:val="nil"/>
            </w:tcBorders>
            <w:shd w:val="clear" w:color="000000" w:fill="FFFFFF"/>
            <w:vAlign w:val="center"/>
          </w:tcPr>
          <w:p w14:paraId="0C7EE8AF" w14:textId="77777777" w:rsidR="00444987" w:rsidRPr="005767EF" w:rsidRDefault="00444987" w:rsidP="00BE15F9">
            <w:pPr>
              <w:jc w:val="right"/>
              <w:rPr>
                <w:rFonts w:asciiTheme="minorHAnsi" w:hAnsiTheme="minorHAnsi"/>
                <w:b/>
                <w:bCs/>
                <w:sz w:val="20"/>
                <w:szCs w:val="20"/>
                <w:lang w:val="sr-Cyrl-BA" w:eastAsia="sr-Latn-RS"/>
              </w:rPr>
            </w:pPr>
            <w:r w:rsidRPr="005767EF">
              <w:rPr>
                <w:rFonts w:asciiTheme="minorHAnsi" w:hAnsiTheme="minorHAnsi"/>
                <w:b/>
                <w:bCs/>
                <w:sz w:val="20"/>
                <w:szCs w:val="20"/>
                <w:lang w:val="sr-Cyrl-BA" w:eastAsia="sr-Latn-RS"/>
              </w:rPr>
              <w:t xml:space="preserve">Tабела </w:t>
            </w:r>
            <w:r>
              <w:rPr>
                <w:rFonts w:asciiTheme="minorHAnsi" w:hAnsiTheme="minorHAnsi"/>
                <w:b/>
                <w:bCs/>
                <w:sz w:val="20"/>
                <w:szCs w:val="20"/>
                <w:lang w:val="sr-Cyrl-BA" w:eastAsia="sr-Latn-RS"/>
              </w:rPr>
              <w:t>7</w:t>
            </w:r>
          </w:p>
        </w:tc>
      </w:tr>
      <w:tr w:rsidR="00444987" w:rsidRPr="005767EF" w14:paraId="7E82523D" w14:textId="77777777" w:rsidTr="00BE15F9">
        <w:trPr>
          <w:trHeight w:val="377"/>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7F6C946" w14:textId="77777777" w:rsidR="00444987" w:rsidRPr="005767EF" w:rsidRDefault="00444987" w:rsidP="00BE15F9">
            <w:pPr>
              <w:jc w:val="center"/>
              <w:rPr>
                <w:rFonts w:asciiTheme="minorHAnsi" w:hAnsiTheme="minorHAnsi"/>
                <w:b/>
                <w:sz w:val="20"/>
                <w:szCs w:val="20"/>
              </w:rPr>
            </w:pPr>
            <w:r w:rsidRPr="005767EF">
              <w:rPr>
                <w:rFonts w:asciiTheme="minorHAnsi" w:hAnsiTheme="minorHAnsi"/>
                <w:b/>
                <w:sz w:val="20"/>
                <w:szCs w:val="20"/>
                <w:lang w:val="sr-Latn-RS" w:eastAsia="sr-Latn-RS"/>
              </w:rPr>
              <w:t>Година</w:t>
            </w:r>
          </w:p>
          <w:p w14:paraId="3194645D" w14:textId="77777777" w:rsidR="00444987" w:rsidRPr="005767EF" w:rsidRDefault="00444987" w:rsidP="00BE15F9">
            <w:pPr>
              <w:jc w:val="center"/>
              <w:rPr>
                <w:rFonts w:asciiTheme="minorHAnsi" w:hAnsiTheme="minorHAnsi"/>
                <w:b/>
                <w:sz w:val="20"/>
                <w:szCs w:val="20"/>
                <w:lang w:val="sr-Latn-RS" w:eastAsia="sr-Latn-RS"/>
              </w:rPr>
            </w:pP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4DB06C6"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Број</w:t>
            </w:r>
          </w:p>
          <w:p w14:paraId="019F9C3F" w14:textId="77777777" w:rsidR="00444987" w:rsidRPr="00245931" w:rsidRDefault="00444987" w:rsidP="00BE15F9">
            <w:pPr>
              <w:jc w:val="center"/>
              <w:rPr>
                <w:rFonts w:asciiTheme="minorHAnsi" w:hAnsiTheme="minorHAnsi"/>
                <w:b/>
                <w:sz w:val="20"/>
                <w:szCs w:val="20"/>
                <w:lang w:val="sr-Cyrl-RS"/>
              </w:rPr>
            </w:pPr>
            <w:r w:rsidRPr="005767EF">
              <w:rPr>
                <w:rFonts w:asciiTheme="minorHAnsi" w:hAnsiTheme="minorHAnsi"/>
                <w:b/>
                <w:sz w:val="20"/>
                <w:szCs w:val="20"/>
                <w:lang w:val="sr-Cyrl-BA" w:eastAsia="sr-Latn-RS"/>
              </w:rPr>
              <w:t>гаранција</w:t>
            </w:r>
          </w:p>
        </w:tc>
        <w:tc>
          <w:tcPr>
            <w:tcW w:w="226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339C6D8"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Износ кредита</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3A8E41E2"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Износ гаранција</w:t>
            </w:r>
          </w:p>
        </w:tc>
      </w:tr>
      <w:tr w:rsidR="00444987" w:rsidRPr="005767EF" w14:paraId="77708BB4"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99F7E0"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5C7472E"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4</w:t>
            </w:r>
          </w:p>
        </w:tc>
        <w:tc>
          <w:tcPr>
            <w:tcW w:w="2268" w:type="dxa"/>
            <w:tcBorders>
              <w:top w:val="nil"/>
              <w:left w:val="nil"/>
              <w:bottom w:val="single" w:sz="4" w:space="0" w:color="auto"/>
              <w:right w:val="single" w:sz="4" w:space="0" w:color="auto"/>
            </w:tcBorders>
            <w:shd w:val="clear" w:color="000000" w:fill="FFFFFF"/>
            <w:vAlign w:val="center"/>
            <w:hideMark/>
          </w:tcPr>
          <w:p w14:paraId="7902A4BF"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5.854.000,00</w:t>
            </w:r>
          </w:p>
        </w:tc>
        <w:tc>
          <w:tcPr>
            <w:tcW w:w="1984" w:type="dxa"/>
            <w:tcBorders>
              <w:top w:val="nil"/>
              <w:left w:val="nil"/>
              <w:bottom w:val="single" w:sz="4" w:space="0" w:color="auto"/>
              <w:right w:val="single" w:sz="4" w:space="0" w:color="auto"/>
            </w:tcBorders>
            <w:shd w:val="clear" w:color="000000" w:fill="FFFFFF"/>
            <w:vAlign w:val="center"/>
            <w:hideMark/>
          </w:tcPr>
          <w:p w14:paraId="75772919"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1.450.000,00</w:t>
            </w:r>
          </w:p>
        </w:tc>
      </w:tr>
      <w:tr w:rsidR="00444987" w:rsidRPr="005767EF" w14:paraId="22D4D697"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AC80B0"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2012</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BD1A2FF"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17</w:t>
            </w:r>
          </w:p>
        </w:tc>
        <w:tc>
          <w:tcPr>
            <w:tcW w:w="2268" w:type="dxa"/>
            <w:tcBorders>
              <w:top w:val="nil"/>
              <w:left w:val="nil"/>
              <w:bottom w:val="single" w:sz="4" w:space="0" w:color="auto"/>
              <w:right w:val="single" w:sz="4" w:space="0" w:color="auto"/>
            </w:tcBorders>
            <w:shd w:val="clear" w:color="000000" w:fill="FFFFFF"/>
            <w:vAlign w:val="center"/>
            <w:hideMark/>
          </w:tcPr>
          <w:p w14:paraId="34670048"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6.307.945,87</w:t>
            </w:r>
          </w:p>
        </w:tc>
        <w:tc>
          <w:tcPr>
            <w:tcW w:w="1984" w:type="dxa"/>
            <w:tcBorders>
              <w:top w:val="nil"/>
              <w:left w:val="nil"/>
              <w:bottom w:val="single" w:sz="4" w:space="0" w:color="auto"/>
              <w:right w:val="single" w:sz="4" w:space="0" w:color="auto"/>
            </w:tcBorders>
            <w:shd w:val="clear" w:color="000000" w:fill="FFFFFF"/>
            <w:vAlign w:val="center"/>
            <w:hideMark/>
          </w:tcPr>
          <w:p w14:paraId="6E829681"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2.872.972,94</w:t>
            </w:r>
          </w:p>
        </w:tc>
      </w:tr>
      <w:tr w:rsidR="00444987" w:rsidRPr="005767EF" w14:paraId="05F9CF16"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391EEB"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2013</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C6402D3"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18</w:t>
            </w:r>
          </w:p>
        </w:tc>
        <w:tc>
          <w:tcPr>
            <w:tcW w:w="2268" w:type="dxa"/>
            <w:tcBorders>
              <w:top w:val="nil"/>
              <w:left w:val="nil"/>
              <w:bottom w:val="single" w:sz="4" w:space="0" w:color="auto"/>
              <w:right w:val="single" w:sz="4" w:space="0" w:color="auto"/>
            </w:tcBorders>
            <w:shd w:val="clear" w:color="000000" w:fill="FFFFFF"/>
            <w:vAlign w:val="center"/>
            <w:hideMark/>
          </w:tcPr>
          <w:p w14:paraId="03CD303F"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15.156.463,45</w:t>
            </w:r>
          </w:p>
        </w:tc>
        <w:tc>
          <w:tcPr>
            <w:tcW w:w="1984" w:type="dxa"/>
            <w:tcBorders>
              <w:top w:val="nil"/>
              <w:left w:val="nil"/>
              <w:bottom w:val="single" w:sz="4" w:space="0" w:color="auto"/>
              <w:right w:val="single" w:sz="4" w:space="0" w:color="auto"/>
            </w:tcBorders>
            <w:shd w:val="clear" w:color="000000" w:fill="FFFFFF"/>
            <w:vAlign w:val="center"/>
            <w:hideMark/>
          </w:tcPr>
          <w:p w14:paraId="71C0A15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4.546.431,84</w:t>
            </w:r>
          </w:p>
        </w:tc>
      </w:tr>
      <w:tr w:rsidR="00444987" w:rsidRPr="005767EF" w14:paraId="2424C76B"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8A420D"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2014</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214DC5D"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32</w:t>
            </w:r>
          </w:p>
        </w:tc>
        <w:tc>
          <w:tcPr>
            <w:tcW w:w="2268" w:type="dxa"/>
            <w:tcBorders>
              <w:top w:val="nil"/>
              <w:left w:val="nil"/>
              <w:bottom w:val="single" w:sz="4" w:space="0" w:color="auto"/>
              <w:right w:val="single" w:sz="4" w:space="0" w:color="auto"/>
            </w:tcBorders>
            <w:shd w:val="clear" w:color="000000" w:fill="FFFFFF"/>
            <w:vAlign w:val="center"/>
            <w:hideMark/>
          </w:tcPr>
          <w:p w14:paraId="5556CE59"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36.457.404,56</w:t>
            </w:r>
          </w:p>
        </w:tc>
        <w:tc>
          <w:tcPr>
            <w:tcW w:w="1984" w:type="dxa"/>
            <w:tcBorders>
              <w:top w:val="nil"/>
              <w:left w:val="nil"/>
              <w:bottom w:val="single" w:sz="4" w:space="0" w:color="auto"/>
              <w:right w:val="single" w:sz="4" w:space="0" w:color="auto"/>
            </w:tcBorders>
            <w:shd w:val="clear" w:color="000000" w:fill="FFFFFF"/>
            <w:vAlign w:val="center"/>
            <w:hideMark/>
          </w:tcPr>
          <w:p w14:paraId="7E37221E"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9.108.346,44</w:t>
            </w:r>
          </w:p>
        </w:tc>
      </w:tr>
      <w:tr w:rsidR="00444987" w:rsidRPr="005767EF" w14:paraId="54EF3386"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032AB7"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2015</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E8A75F6"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12</w:t>
            </w:r>
          </w:p>
        </w:tc>
        <w:tc>
          <w:tcPr>
            <w:tcW w:w="2268" w:type="dxa"/>
            <w:tcBorders>
              <w:top w:val="nil"/>
              <w:left w:val="nil"/>
              <w:bottom w:val="single" w:sz="4" w:space="0" w:color="auto"/>
              <w:right w:val="single" w:sz="4" w:space="0" w:color="auto"/>
            </w:tcBorders>
            <w:shd w:val="clear" w:color="000000" w:fill="FFFFFF"/>
            <w:vAlign w:val="center"/>
            <w:hideMark/>
          </w:tcPr>
          <w:p w14:paraId="60DC4325"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8.380.980,00</w:t>
            </w:r>
          </w:p>
        </w:tc>
        <w:tc>
          <w:tcPr>
            <w:tcW w:w="1984" w:type="dxa"/>
            <w:tcBorders>
              <w:top w:val="nil"/>
              <w:left w:val="nil"/>
              <w:bottom w:val="single" w:sz="4" w:space="0" w:color="auto"/>
              <w:right w:val="single" w:sz="4" w:space="0" w:color="auto"/>
            </w:tcBorders>
            <w:shd w:val="clear" w:color="000000" w:fill="FFFFFF"/>
            <w:vAlign w:val="center"/>
            <w:hideMark/>
          </w:tcPr>
          <w:p w14:paraId="7D08C80A"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3.122.990,00</w:t>
            </w:r>
          </w:p>
        </w:tc>
      </w:tr>
      <w:tr w:rsidR="00444987" w:rsidRPr="005767EF" w14:paraId="0AF76EAE"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987A50"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2016</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F9938B6"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14:paraId="24217C74"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3.587.398,07</w:t>
            </w:r>
          </w:p>
        </w:tc>
        <w:tc>
          <w:tcPr>
            <w:tcW w:w="1984" w:type="dxa"/>
            <w:tcBorders>
              <w:top w:val="nil"/>
              <w:left w:val="nil"/>
              <w:bottom w:val="single" w:sz="4" w:space="0" w:color="auto"/>
              <w:right w:val="single" w:sz="4" w:space="0" w:color="auto"/>
            </w:tcBorders>
            <w:shd w:val="clear" w:color="000000" w:fill="FFFFFF"/>
            <w:vAlign w:val="center"/>
            <w:hideMark/>
          </w:tcPr>
          <w:p w14:paraId="33B03BEB"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1.634.321,99</w:t>
            </w:r>
          </w:p>
        </w:tc>
      </w:tr>
      <w:tr w:rsidR="00444987" w:rsidRPr="005767EF" w14:paraId="73E026E3"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DC78D"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2017</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5BD4AD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15</w:t>
            </w:r>
          </w:p>
        </w:tc>
        <w:tc>
          <w:tcPr>
            <w:tcW w:w="2268" w:type="dxa"/>
            <w:tcBorders>
              <w:top w:val="nil"/>
              <w:left w:val="nil"/>
              <w:bottom w:val="single" w:sz="4" w:space="0" w:color="auto"/>
              <w:right w:val="single" w:sz="4" w:space="0" w:color="auto"/>
            </w:tcBorders>
            <w:shd w:val="clear" w:color="000000" w:fill="FFFFFF"/>
            <w:vAlign w:val="center"/>
            <w:hideMark/>
          </w:tcPr>
          <w:p w14:paraId="19ED9D36"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5.694.749,40</w:t>
            </w:r>
          </w:p>
        </w:tc>
        <w:tc>
          <w:tcPr>
            <w:tcW w:w="1984" w:type="dxa"/>
            <w:tcBorders>
              <w:top w:val="nil"/>
              <w:left w:val="nil"/>
              <w:bottom w:val="single" w:sz="4" w:space="0" w:color="auto"/>
              <w:right w:val="single" w:sz="4" w:space="0" w:color="auto"/>
            </w:tcBorders>
            <w:shd w:val="clear" w:color="000000" w:fill="FFFFFF"/>
            <w:vAlign w:val="center"/>
            <w:hideMark/>
          </w:tcPr>
          <w:p w14:paraId="4BB4D870"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2.473.763,48</w:t>
            </w:r>
          </w:p>
        </w:tc>
      </w:tr>
      <w:tr w:rsidR="00444987" w:rsidRPr="005767EF" w14:paraId="218D81CB"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40C95F"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2018</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57A4BE7"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28</w:t>
            </w:r>
          </w:p>
        </w:tc>
        <w:tc>
          <w:tcPr>
            <w:tcW w:w="2268" w:type="dxa"/>
            <w:tcBorders>
              <w:top w:val="nil"/>
              <w:left w:val="nil"/>
              <w:bottom w:val="single" w:sz="4" w:space="0" w:color="auto"/>
              <w:right w:val="single" w:sz="4" w:space="0" w:color="auto"/>
            </w:tcBorders>
            <w:shd w:val="clear" w:color="000000" w:fill="FFFFFF"/>
            <w:vAlign w:val="center"/>
            <w:hideMark/>
          </w:tcPr>
          <w:p w14:paraId="7FBEC9A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7.142.900,00</w:t>
            </w:r>
          </w:p>
        </w:tc>
        <w:tc>
          <w:tcPr>
            <w:tcW w:w="1984" w:type="dxa"/>
            <w:tcBorders>
              <w:top w:val="nil"/>
              <w:left w:val="nil"/>
              <w:bottom w:val="single" w:sz="4" w:space="0" w:color="auto"/>
              <w:right w:val="single" w:sz="4" w:space="0" w:color="auto"/>
            </w:tcBorders>
            <w:shd w:val="clear" w:color="000000" w:fill="FFFFFF"/>
            <w:vAlign w:val="center"/>
            <w:hideMark/>
          </w:tcPr>
          <w:p w14:paraId="554A618F"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2.757.978,00</w:t>
            </w:r>
          </w:p>
        </w:tc>
      </w:tr>
      <w:tr w:rsidR="00444987" w:rsidRPr="005767EF" w14:paraId="1635C7D5"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B9103A"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2019</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2B065D9"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14:paraId="74401B6F"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6.084.461,10</w:t>
            </w:r>
          </w:p>
        </w:tc>
        <w:tc>
          <w:tcPr>
            <w:tcW w:w="1984" w:type="dxa"/>
            <w:tcBorders>
              <w:top w:val="nil"/>
              <w:left w:val="nil"/>
              <w:bottom w:val="single" w:sz="4" w:space="0" w:color="auto"/>
              <w:right w:val="single" w:sz="4" w:space="0" w:color="auto"/>
            </w:tcBorders>
            <w:shd w:val="clear" w:color="000000" w:fill="FFFFFF"/>
            <w:vAlign w:val="center"/>
            <w:hideMark/>
          </w:tcPr>
          <w:p w14:paraId="5A6956DA"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2.040.914,27</w:t>
            </w:r>
          </w:p>
        </w:tc>
      </w:tr>
      <w:tr w:rsidR="00444987" w:rsidRPr="005767EF" w14:paraId="5B0ADA59"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3FF9AB"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2020</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959CCF2"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38</w:t>
            </w:r>
          </w:p>
        </w:tc>
        <w:tc>
          <w:tcPr>
            <w:tcW w:w="2268" w:type="dxa"/>
            <w:tcBorders>
              <w:top w:val="nil"/>
              <w:left w:val="nil"/>
              <w:bottom w:val="single" w:sz="4" w:space="0" w:color="auto"/>
              <w:right w:val="single" w:sz="4" w:space="0" w:color="auto"/>
            </w:tcBorders>
            <w:shd w:val="clear" w:color="000000" w:fill="FFFFFF"/>
            <w:vAlign w:val="center"/>
            <w:hideMark/>
          </w:tcPr>
          <w:p w14:paraId="45181FC1"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22.486.800,00</w:t>
            </w:r>
          </w:p>
        </w:tc>
        <w:tc>
          <w:tcPr>
            <w:tcW w:w="1984" w:type="dxa"/>
            <w:tcBorders>
              <w:top w:val="nil"/>
              <w:left w:val="nil"/>
              <w:bottom w:val="single" w:sz="4" w:space="0" w:color="auto"/>
              <w:right w:val="single" w:sz="4" w:space="0" w:color="auto"/>
            </w:tcBorders>
            <w:shd w:val="clear" w:color="000000" w:fill="FFFFFF"/>
            <w:vAlign w:val="center"/>
            <w:hideMark/>
          </w:tcPr>
          <w:p w14:paraId="4986FFA9"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10.791.400,00</w:t>
            </w:r>
          </w:p>
        </w:tc>
      </w:tr>
      <w:tr w:rsidR="00444987" w:rsidRPr="005767EF" w14:paraId="0A02F4CC"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676E02"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2021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CF42F38"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46</w:t>
            </w:r>
          </w:p>
        </w:tc>
        <w:tc>
          <w:tcPr>
            <w:tcW w:w="2268" w:type="dxa"/>
            <w:tcBorders>
              <w:top w:val="nil"/>
              <w:left w:val="nil"/>
              <w:bottom w:val="single" w:sz="4" w:space="0" w:color="auto"/>
              <w:right w:val="single" w:sz="4" w:space="0" w:color="auto"/>
            </w:tcBorders>
            <w:shd w:val="clear" w:color="000000" w:fill="FFFFFF"/>
            <w:vAlign w:val="center"/>
            <w:hideMark/>
          </w:tcPr>
          <w:p w14:paraId="3EC47825"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24.375.144,64</w:t>
            </w:r>
          </w:p>
        </w:tc>
        <w:tc>
          <w:tcPr>
            <w:tcW w:w="1984" w:type="dxa"/>
            <w:tcBorders>
              <w:top w:val="nil"/>
              <w:left w:val="nil"/>
              <w:bottom w:val="single" w:sz="4" w:space="0" w:color="auto"/>
              <w:right w:val="single" w:sz="4" w:space="0" w:color="auto"/>
            </w:tcBorders>
            <w:shd w:val="clear" w:color="000000" w:fill="FFFFFF"/>
            <w:vAlign w:val="center"/>
            <w:hideMark/>
          </w:tcPr>
          <w:p w14:paraId="1242069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10.795.782,32</w:t>
            </w:r>
          </w:p>
        </w:tc>
      </w:tr>
      <w:tr w:rsidR="00444987" w:rsidRPr="005767EF" w14:paraId="2687374D"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75DCD9"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2022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A64725"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val="sr-Latn-RS" w:eastAsia="sr-Latn-RS"/>
              </w:rPr>
              <w:t>23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5804603C"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16.933.109,22</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3AECB92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val="sr-Latn-RS" w:eastAsia="sr-Latn-RS"/>
              </w:rPr>
              <w:t>7.965.795,16</w:t>
            </w:r>
          </w:p>
        </w:tc>
      </w:tr>
      <w:tr w:rsidR="00444987" w:rsidRPr="005767EF" w14:paraId="2B736A41" w14:textId="77777777"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000000" w:fill="F0F0F0"/>
            <w:vAlign w:val="center"/>
          </w:tcPr>
          <w:p w14:paraId="2C6158AB" w14:textId="77777777" w:rsidR="00444987" w:rsidRPr="005767EF" w:rsidRDefault="00444987" w:rsidP="00BE15F9">
            <w:pPr>
              <w:jc w:val="center"/>
              <w:rPr>
                <w:rFonts w:asciiTheme="minorHAnsi" w:hAnsiTheme="minorHAnsi"/>
                <w:sz w:val="20"/>
                <w:szCs w:val="20"/>
                <w:lang w:val="sr-Cyrl-BA" w:eastAsia="sr-Latn-RS"/>
              </w:rPr>
            </w:pPr>
            <w:r w:rsidRPr="005767EF">
              <w:rPr>
                <w:rFonts w:asciiTheme="minorHAnsi" w:hAnsiTheme="minorHAnsi"/>
                <w:sz w:val="20"/>
                <w:szCs w:val="20"/>
                <w:lang w:val="sr-Cyrl-BA" w:eastAsia="sr-Latn-RS"/>
              </w:rPr>
              <w:t>2023</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14:paraId="2D936DD7" w14:textId="77777777" w:rsidR="00444987" w:rsidRPr="005767EF" w:rsidRDefault="00444987" w:rsidP="00BE15F9">
            <w:pPr>
              <w:jc w:val="center"/>
              <w:rPr>
                <w:rFonts w:asciiTheme="minorHAnsi" w:hAnsiTheme="minorHAnsi"/>
                <w:sz w:val="20"/>
                <w:szCs w:val="20"/>
                <w:lang w:val="sr-Cyrl-RS" w:eastAsia="sr-Latn-RS"/>
              </w:rPr>
            </w:pPr>
            <w:r w:rsidRPr="005767EF">
              <w:rPr>
                <w:rFonts w:asciiTheme="minorHAnsi" w:hAnsiTheme="minorHAnsi"/>
                <w:sz w:val="20"/>
                <w:szCs w:val="20"/>
                <w:lang w:val="sr-Cyrl-RS"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14:paraId="0BE9A328" w14:textId="77777777" w:rsidR="00444987" w:rsidRPr="005767EF" w:rsidRDefault="00444987" w:rsidP="00BE15F9">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25.760.000,00</w:t>
            </w:r>
          </w:p>
        </w:tc>
        <w:tc>
          <w:tcPr>
            <w:tcW w:w="1984" w:type="dxa"/>
            <w:tcBorders>
              <w:top w:val="single" w:sz="4" w:space="0" w:color="auto"/>
              <w:left w:val="single" w:sz="4" w:space="0" w:color="auto"/>
              <w:bottom w:val="single" w:sz="4" w:space="0" w:color="auto"/>
              <w:right w:val="single" w:sz="4" w:space="0" w:color="auto"/>
            </w:tcBorders>
            <w:shd w:val="clear" w:color="000000" w:fill="F0F0F0"/>
            <w:vAlign w:val="center"/>
          </w:tcPr>
          <w:p w14:paraId="1D24E50A" w14:textId="77777777" w:rsidR="00444987" w:rsidRPr="005767EF" w:rsidRDefault="00444987" w:rsidP="00BE15F9">
            <w:pPr>
              <w:jc w:val="right"/>
              <w:rPr>
                <w:rFonts w:asciiTheme="minorHAnsi" w:hAnsiTheme="minorHAnsi"/>
                <w:sz w:val="20"/>
                <w:szCs w:val="20"/>
                <w:lang w:val="sr-Cyrl-RS" w:eastAsia="sr-Latn-RS"/>
              </w:rPr>
            </w:pPr>
            <w:r w:rsidRPr="005767EF">
              <w:rPr>
                <w:rFonts w:asciiTheme="minorHAnsi" w:hAnsiTheme="minorHAnsi"/>
                <w:sz w:val="20"/>
                <w:szCs w:val="20"/>
                <w:lang w:val="sr-Cyrl-RS" w:eastAsia="sr-Latn-RS"/>
              </w:rPr>
              <w:t>5.470.260,00</w:t>
            </w:r>
          </w:p>
        </w:tc>
      </w:tr>
      <w:tr w:rsidR="00444987" w:rsidRPr="005767EF" w14:paraId="2C7DA142" w14:textId="77777777"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5C00D3E"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val="sr-Cyrl-BA" w:eastAsia="sr-Latn-RS"/>
              </w:rPr>
              <w:t>УКУПНО</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3C8BDE5" w14:textId="77777777" w:rsidR="00444987" w:rsidRPr="005767EF" w:rsidRDefault="00444987" w:rsidP="00BE15F9">
            <w:pPr>
              <w:jc w:val="center"/>
              <w:rPr>
                <w:rFonts w:asciiTheme="minorHAnsi" w:hAnsiTheme="minorHAnsi"/>
                <w:b/>
                <w:sz w:val="20"/>
                <w:szCs w:val="20"/>
                <w:lang w:val="sr-Cyrl-RS" w:eastAsia="sr-Latn-RS"/>
              </w:rPr>
            </w:pPr>
            <w:r w:rsidRPr="005767EF">
              <w:rPr>
                <w:rFonts w:asciiTheme="minorHAnsi" w:hAnsiTheme="minorHAnsi"/>
                <w:b/>
                <w:sz w:val="20"/>
                <w:szCs w:val="20"/>
                <w:lang w:val="sr-Cyrl-RS" w:eastAsia="sr-Latn-RS"/>
              </w:rPr>
              <w:t>25</w:t>
            </w:r>
            <w:r>
              <w:rPr>
                <w:rFonts w:asciiTheme="minorHAnsi" w:hAnsiTheme="minorHAnsi"/>
                <w:b/>
                <w:sz w:val="20"/>
                <w:szCs w:val="20"/>
                <w:lang w:val="sr-Cyrl-RS" w:eastAsia="sr-Latn-RS"/>
              </w:rPr>
              <w:t>7</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729C0C6" w14:textId="77777777" w:rsidR="00444987" w:rsidRPr="005767EF" w:rsidRDefault="00444987" w:rsidP="00BE15F9">
            <w:pPr>
              <w:jc w:val="right"/>
              <w:rPr>
                <w:rFonts w:asciiTheme="minorHAnsi" w:hAnsiTheme="minorHAnsi"/>
                <w:b/>
                <w:sz w:val="20"/>
                <w:szCs w:val="20"/>
                <w:lang w:val="sr-Latn-RS" w:eastAsia="sr-Latn-RS"/>
              </w:rPr>
            </w:pPr>
            <w:r w:rsidRPr="005767EF">
              <w:rPr>
                <w:rFonts w:asciiTheme="minorHAnsi" w:hAnsiTheme="minorHAnsi"/>
                <w:b/>
                <w:sz w:val="20"/>
                <w:szCs w:val="20"/>
                <w:lang w:val="sr-Cyrl-RS" w:eastAsia="sr-Latn-RS"/>
              </w:rPr>
              <w:t>184.221</w:t>
            </w:r>
            <w:r w:rsidRPr="005767EF">
              <w:rPr>
                <w:rFonts w:asciiTheme="minorHAnsi" w:hAnsiTheme="minorHAnsi"/>
                <w:b/>
                <w:sz w:val="20"/>
                <w:szCs w:val="20"/>
                <w:lang w:val="sr-Latn-RS" w:eastAsia="sr-Latn-RS"/>
              </w:rPr>
              <w:t>.356,31</w:t>
            </w:r>
          </w:p>
        </w:tc>
        <w:tc>
          <w:tcPr>
            <w:tcW w:w="19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7D549D0" w14:textId="77777777" w:rsidR="00444987" w:rsidRPr="005767EF" w:rsidRDefault="00444987" w:rsidP="00BE15F9">
            <w:pPr>
              <w:jc w:val="right"/>
              <w:rPr>
                <w:rFonts w:asciiTheme="minorHAnsi" w:hAnsiTheme="minorHAnsi"/>
                <w:b/>
                <w:sz w:val="20"/>
                <w:szCs w:val="20"/>
                <w:lang w:val="sr-Latn-RS" w:eastAsia="sr-Latn-RS"/>
              </w:rPr>
            </w:pPr>
            <w:r w:rsidRPr="005767EF">
              <w:rPr>
                <w:rFonts w:asciiTheme="minorHAnsi" w:hAnsiTheme="minorHAnsi"/>
                <w:b/>
                <w:sz w:val="20"/>
                <w:szCs w:val="20"/>
                <w:lang w:val="sr-Cyrl-RS" w:eastAsia="sr-Latn-RS"/>
              </w:rPr>
              <w:t>65.030</w:t>
            </w:r>
            <w:r w:rsidRPr="005767EF">
              <w:rPr>
                <w:rFonts w:asciiTheme="minorHAnsi" w:hAnsiTheme="minorHAnsi"/>
                <w:b/>
                <w:sz w:val="20"/>
                <w:szCs w:val="20"/>
                <w:lang w:val="sr-Latn-RS" w:eastAsia="sr-Latn-RS"/>
              </w:rPr>
              <w:t>.</w:t>
            </w:r>
            <w:r w:rsidRPr="005767EF">
              <w:rPr>
                <w:rFonts w:asciiTheme="minorHAnsi" w:hAnsiTheme="minorHAnsi"/>
                <w:b/>
                <w:sz w:val="20"/>
                <w:szCs w:val="20"/>
                <w:lang w:val="sr-Cyrl-RS" w:eastAsia="sr-Latn-RS"/>
              </w:rPr>
              <w:t>956</w:t>
            </w:r>
            <w:r w:rsidRPr="005767EF">
              <w:rPr>
                <w:rFonts w:asciiTheme="minorHAnsi" w:hAnsiTheme="minorHAnsi"/>
                <w:b/>
                <w:sz w:val="20"/>
                <w:szCs w:val="20"/>
                <w:lang w:val="sr-Latn-RS" w:eastAsia="sr-Latn-RS"/>
              </w:rPr>
              <w:t>,44</w:t>
            </w:r>
          </w:p>
        </w:tc>
      </w:tr>
    </w:tbl>
    <w:p w14:paraId="6AA01BA5" w14:textId="77777777" w:rsidR="008E0518" w:rsidRDefault="008E0518" w:rsidP="00245931">
      <w:pPr>
        <w:pStyle w:val="Default"/>
        <w:jc w:val="both"/>
        <w:rPr>
          <w:rFonts w:asciiTheme="minorHAnsi" w:hAnsiTheme="minorHAnsi"/>
          <w:color w:val="auto"/>
          <w:sz w:val="20"/>
          <w:szCs w:val="20"/>
          <w:lang w:val="sr-Cyrl-BA"/>
        </w:rPr>
      </w:pPr>
    </w:p>
    <w:p w14:paraId="1B516B66" w14:textId="77777777" w:rsidR="00254480" w:rsidRDefault="00245931" w:rsidP="00245931">
      <w:pPr>
        <w:pStyle w:val="Default"/>
        <w:jc w:val="both"/>
        <w:rPr>
          <w:rFonts w:asciiTheme="minorHAnsi" w:hAnsiTheme="minorHAnsi"/>
          <w:color w:val="auto"/>
          <w:sz w:val="20"/>
          <w:szCs w:val="20"/>
          <w:lang w:val="sr-Cyrl-BA"/>
        </w:rPr>
      </w:pPr>
      <w:r w:rsidRPr="005767EF">
        <w:rPr>
          <w:rFonts w:asciiTheme="minorHAnsi" w:hAnsiTheme="minorHAnsi"/>
          <w:color w:val="auto"/>
          <w:sz w:val="20"/>
          <w:szCs w:val="20"/>
          <w:lang w:val="sr-Cyrl-BA"/>
        </w:rPr>
        <w:t xml:space="preserve">Од </w:t>
      </w:r>
      <w:r w:rsidR="008E49D3">
        <w:rPr>
          <w:rFonts w:asciiTheme="minorHAnsi" w:hAnsiTheme="minorHAnsi"/>
          <w:color w:val="auto"/>
          <w:sz w:val="20"/>
          <w:szCs w:val="20"/>
          <w:lang w:val="sr-Cyrl-BA"/>
        </w:rPr>
        <w:t xml:space="preserve">почетка рада Гарантног фонда у 2011. години </w:t>
      </w:r>
      <w:r w:rsidRPr="005767EF">
        <w:rPr>
          <w:rFonts w:asciiTheme="minorHAnsi" w:hAnsiTheme="minorHAnsi"/>
          <w:color w:val="auto"/>
          <w:sz w:val="20"/>
          <w:szCs w:val="20"/>
          <w:lang w:val="sr-Cyrl-BA"/>
        </w:rPr>
        <w:t xml:space="preserve">до краја 2023. године, </w:t>
      </w:r>
      <w:r w:rsidR="008E49D3">
        <w:rPr>
          <w:rFonts w:asciiTheme="minorHAnsi" w:hAnsiTheme="minorHAnsi"/>
          <w:color w:val="auto"/>
          <w:sz w:val="20"/>
          <w:szCs w:val="20"/>
          <w:lang w:val="sr-Cyrl-BA"/>
        </w:rPr>
        <w:t xml:space="preserve">укупно је издано </w:t>
      </w:r>
      <w:r w:rsidRPr="005767EF">
        <w:rPr>
          <w:rFonts w:asciiTheme="minorHAnsi" w:hAnsiTheme="minorHAnsi"/>
          <w:color w:val="auto"/>
          <w:sz w:val="20"/>
          <w:szCs w:val="20"/>
          <w:lang w:val="sr-Cyrl-BA"/>
        </w:rPr>
        <w:t>25</w:t>
      </w:r>
      <w:r w:rsidR="00D44C0D">
        <w:rPr>
          <w:rFonts w:asciiTheme="minorHAnsi" w:hAnsiTheme="minorHAnsi"/>
          <w:color w:val="auto"/>
          <w:sz w:val="20"/>
          <w:szCs w:val="20"/>
          <w:lang w:val="sr-Cyrl-BA"/>
        </w:rPr>
        <w:t>7</w:t>
      </w:r>
      <w:r w:rsidRPr="005767EF">
        <w:rPr>
          <w:rFonts w:asciiTheme="minorHAnsi" w:hAnsiTheme="minorHAnsi"/>
          <w:color w:val="auto"/>
          <w:sz w:val="20"/>
          <w:szCs w:val="20"/>
          <w:lang w:val="sr-Cyrl-BA"/>
        </w:rPr>
        <w:t xml:space="preserve"> гаранција у износу од </w:t>
      </w:r>
      <w:r>
        <w:rPr>
          <w:rFonts w:asciiTheme="minorHAnsi" w:hAnsiTheme="minorHAnsi"/>
          <w:color w:val="auto"/>
          <w:sz w:val="20"/>
          <w:szCs w:val="20"/>
          <w:lang w:val="sr-Cyrl-BA"/>
        </w:rPr>
        <w:t>65.030.956</w:t>
      </w:r>
      <w:r w:rsidRPr="005767EF">
        <w:rPr>
          <w:rFonts w:asciiTheme="minorHAnsi" w:hAnsiTheme="minorHAnsi"/>
          <w:color w:val="auto"/>
          <w:sz w:val="20"/>
          <w:szCs w:val="20"/>
          <w:lang w:val="sr-Cyrl-BA"/>
        </w:rPr>
        <w:t>,44 КМ, чиме је подржан пласман 18</w:t>
      </w:r>
      <w:r>
        <w:rPr>
          <w:rFonts w:asciiTheme="minorHAnsi" w:hAnsiTheme="minorHAnsi"/>
          <w:color w:val="auto"/>
          <w:sz w:val="20"/>
          <w:szCs w:val="20"/>
          <w:lang w:val="sr-Cyrl-BA"/>
        </w:rPr>
        <w:t>4.2</w:t>
      </w:r>
      <w:r w:rsidRPr="005767EF">
        <w:rPr>
          <w:rFonts w:asciiTheme="minorHAnsi" w:hAnsiTheme="minorHAnsi"/>
          <w:color w:val="auto"/>
          <w:sz w:val="20"/>
          <w:szCs w:val="20"/>
          <w:lang w:val="sr-Cyrl-BA"/>
        </w:rPr>
        <w:t>21.</w:t>
      </w:r>
      <w:r w:rsidR="00D44C0D">
        <w:rPr>
          <w:rFonts w:asciiTheme="minorHAnsi" w:hAnsiTheme="minorHAnsi"/>
          <w:color w:val="auto"/>
          <w:sz w:val="20"/>
          <w:szCs w:val="20"/>
          <w:lang w:val="sr-Cyrl-BA"/>
        </w:rPr>
        <w:t>356,31 КМ кредитних средстава.</w:t>
      </w:r>
      <w:r w:rsidR="0055687E">
        <w:rPr>
          <w:rFonts w:asciiTheme="minorHAnsi" w:hAnsiTheme="minorHAnsi"/>
          <w:color w:val="auto"/>
          <w:sz w:val="20"/>
          <w:szCs w:val="20"/>
          <w:lang w:val="sr-Cyrl-BA"/>
        </w:rPr>
        <w:t xml:space="preserve"> </w:t>
      </w:r>
      <w:r w:rsidRPr="005767EF">
        <w:rPr>
          <w:rFonts w:asciiTheme="minorHAnsi" w:hAnsiTheme="minorHAnsi"/>
          <w:color w:val="auto"/>
          <w:sz w:val="20"/>
          <w:szCs w:val="20"/>
          <w:lang w:val="sr-Cyrl-BA"/>
        </w:rPr>
        <w:t>Смањење броја појединачних гаранција у односу на претходне 2 године је резултат све већег опредјељења финансијских посредника за издавање гаранција у оквиру кредитног портфеља, који због бројних предности преузима примат у односну на појединачне гаранције у оквиру редовних линија.</w:t>
      </w:r>
      <w:r w:rsidR="008E49D3">
        <w:rPr>
          <w:rFonts w:asciiTheme="minorHAnsi" w:hAnsiTheme="minorHAnsi"/>
          <w:color w:val="auto"/>
          <w:sz w:val="20"/>
          <w:szCs w:val="20"/>
          <w:lang w:val="sr-Cyrl-BA"/>
        </w:rPr>
        <w:t xml:space="preserve"> Без обзира н</w:t>
      </w:r>
      <w:r w:rsidR="008A780A">
        <w:rPr>
          <w:rFonts w:asciiTheme="minorHAnsi" w:hAnsiTheme="minorHAnsi"/>
          <w:color w:val="auto"/>
          <w:sz w:val="20"/>
          <w:szCs w:val="20"/>
          <w:lang w:val="sr-Cyrl-BA"/>
        </w:rPr>
        <w:t>а смањење броја гаранција, Гара</w:t>
      </w:r>
      <w:r w:rsidR="008E49D3">
        <w:rPr>
          <w:rFonts w:asciiTheme="minorHAnsi" w:hAnsiTheme="minorHAnsi"/>
          <w:color w:val="auto"/>
          <w:sz w:val="20"/>
          <w:szCs w:val="20"/>
          <w:lang w:val="sr-Cyrl-BA"/>
        </w:rPr>
        <w:t>нт</w:t>
      </w:r>
      <w:r w:rsidR="008A780A">
        <w:rPr>
          <w:rFonts w:asciiTheme="minorHAnsi" w:hAnsiTheme="minorHAnsi"/>
          <w:color w:val="auto"/>
          <w:sz w:val="20"/>
          <w:szCs w:val="20"/>
          <w:lang w:val="sr-Cyrl-BA"/>
        </w:rPr>
        <w:t>н</w:t>
      </w:r>
      <w:r w:rsidR="008E49D3">
        <w:rPr>
          <w:rFonts w:asciiTheme="minorHAnsi" w:hAnsiTheme="minorHAnsi"/>
          <w:color w:val="auto"/>
          <w:sz w:val="20"/>
          <w:szCs w:val="20"/>
          <w:lang w:val="sr-Cyrl-BA"/>
        </w:rPr>
        <w:t xml:space="preserve">и фонд је задржао ниво подршке на високом нивоу, те је </w:t>
      </w:r>
      <w:r w:rsidR="004E7FA3">
        <w:rPr>
          <w:rFonts w:asciiTheme="minorHAnsi" w:hAnsiTheme="minorHAnsi"/>
          <w:color w:val="auto"/>
          <w:sz w:val="20"/>
          <w:szCs w:val="20"/>
          <w:lang w:val="sr-Cyrl-BA"/>
        </w:rPr>
        <w:t>у 2023. години уз гаранције Фонда пласиран највећи износ кредитних средстава још од 2014. године.</w:t>
      </w:r>
    </w:p>
    <w:tbl>
      <w:tblPr>
        <w:tblW w:w="8789" w:type="dxa"/>
        <w:tblInd w:w="108" w:type="dxa"/>
        <w:tblLayout w:type="fixed"/>
        <w:tblLook w:val="04A0" w:firstRow="1" w:lastRow="0" w:firstColumn="1" w:lastColumn="0" w:noHBand="0" w:noVBand="1"/>
      </w:tblPr>
      <w:tblGrid>
        <w:gridCol w:w="1276"/>
        <w:gridCol w:w="6662"/>
        <w:gridCol w:w="851"/>
      </w:tblGrid>
      <w:tr w:rsidR="008D3DAA" w:rsidRPr="005767EF" w14:paraId="23C52B6A" w14:textId="77777777" w:rsidTr="008C27E1">
        <w:trPr>
          <w:trHeight w:val="465"/>
        </w:trPr>
        <w:tc>
          <w:tcPr>
            <w:tcW w:w="1276" w:type="dxa"/>
            <w:tcBorders>
              <w:top w:val="nil"/>
              <w:left w:val="nil"/>
              <w:bottom w:val="nil"/>
              <w:right w:val="nil"/>
            </w:tcBorders>
            <w:shd w:val="clear" w:color="000000" w:fill="FFFFFF"/>
          </w:tcPr>
          <w:p w14:paraId="1D91F575" w14:textId="77777777" w:rsidR="008D3DAA" w:rsidRPr="005767EF" w:rsidRDefault="008D3DAA" w:rsidP="00091285">
            <w:pPr>
              <w:rPr>
                <w:rFonts w:asciiTheme="minorHAnsi" w:hAnsiTheme="minorHAnsi"/>
                <w:b/>
                <w:bCs/>
                <w:color w:val="FF0000"/>
                <w:sz w:val="20"/>
                <w:szCs w:val="20"/>
                <w:lang w:val="sr-Cyrl-RS" w:eastAsia="sr-Latn-RS"/>
              </w:rPr>
            </w:pPr>
          </w:p>
        </w:tc>
        <w:tc>
          <w:tcPr>
            <w:tcW w:w="6662" w:type="dxa"/>
            <w:tcBorders>
              <w:top w:val="nil"/>
              <w:left w:val="nil"/>
              <w:bottom w:val="nil"/>
              <w:right w:val="nil"/>
            </w:tcBorders>
            <w:shd w:val="clear" w:color="000000" w:fill="FFFFFF"/>
            <w:vAlign w:val="center"/>
            <w:hideMark/>
          </w:tcPr>
          <w:p w14:paraId="03825556" w14:textId="77777777" w:rsidR="008D3DAA" w:rsidRPr="0055687E" w:rsidRDefault="008D3DAA" w:rsidP="00091285">
            <w:pPr>
              <w:jc w:val="center"/>
              <w:rPr>
                <w:rFonts w:asciiTheme="minorHAnsi" w:hAnsiTheme="minorHAnsi"/>
                <w:b/>
                <w:bCs/>
                <w:sz w:val="20"/>
                <w:szCs w:val="20"/>
                <w:lang w:val="sr-Cyrl-RS" w:eastAsia="sr-Latn-RS"/>
              </w:rPr>
            </w:pPr>
            <w:r w:rsidRPr="005767EF">
              <w:rPr>
                <w:rFonts w:asciiTheme="minorHAnsi" w:hAnsiTheme="minorHAnsi"/>
                <w:b/>
                <w:bCs/>
                <w:color w:val="000000" w:themeColor="text1"/>
                <w:sz w:val="20"/>
                <w:szCs w:val="20"/>
                <w:lang w:val="sr-Latn-RS" w:eastAsia="sr-Latn-RS"/>
              </w:rPr>
              <w:t>Преглед активних гаранција</w:t>
            </w:r>
            <w:r w:rsidRPr="005767EF">
              <w:rPr>
                <w:rFonts w:asciiTheme="minorHAnsi" w:hAnsiTheme="minorHAnsi"/>
                <w:b/>
                <w:bCs/>
                <w:color w:val="000000" w:themeColor="text1"/>
                <w:sz w:val="20"/>
                <w:szCs w:val="20"/>
                <w:lang w:val="sr-Cyrl-BA" w:eastAsia="sr-Latn-RS"/>
              </w:rPr>
              <w:t xml:space="preserve"> по финансијским посредницима </w:t>
            </w:r>
            <w:r w:rsidRPr="005767EF">
              <w:rPr>
                <w:rFonts w:asciiTheme="minorHAnsi" w:hAnsiTheme="minorHAnsi"/>
                <w:b/>
                <w:bCs/>
                <w:color w:val="000000" w:themeColor="text1"/>
                <w:sz w:val="20"/>
                <w:szCs w:val="20"/>
                <w:lang w:val="sr-Latn-RS" w:eastAsia="sr-Latn-RS"/>
              </w:rPr>
              <w:t>на дан 31.12.202</w:t>
            </w:r>
            <w:r w:rsidRPr="005767EF">
              <w:rPr>
                <w:rFonts w:asciiTheme="minorHAnsi" w:hAnsiTheme="minorHAnsi"/>
                <w:b/>
                <w:bCs/>
                <w:color w:val="000000" w:themeColor="text1"/>
                <w:sz w:val="20"/>
                <w:szCs w:val="20"/>
                <w:lang w:val="sr-Cyrl-RS" w:eastAsia="sr-Latn-RS"/>
              </w:rPr>
              <w:t>3</w:t>
            </w:r>
            <w:r w:rsidRPr="005767EF">
              <w:rPr>
                <w:rFonts w:asciiTheme="minorHAnsi" w:hAnsiTheme="minorHAnsi"/>
                <w:b/>
                <w:bCs/>
                <w:color w:val="000000" w:themeColor="text1"/>
                <w:sz w:val="20"/>
                <w:szCs w:val="20"/>
                <w:lang w:val="sr-Latn-RS" w:eastAsia="sr-Latn-RS"/>
              </w:rPr>
              <w:t>.</w:t>
            </w:r>
            <w:r>
              <w:rPr>
                <w:rFonts w:asciiTheme="minorHAnsi" w:hAnsiTheme="minorHAnsi"/>
                <w:b/>
                <w:bCs/>
                <w:color w:val="000000" w:themeColor="text1"/>
                <w:sz w:val="20"/>
                <w:szCs w:val="20"/>
                <w:lang w:val="sr-Cyrl-RS" w:eastAsia="sr-Latn-RS"/>
              </w:rPr>
              <w:t xml:space="preserve"> године</w:t>
            </w:r>
          </w:p>
        </w:tc>
        <w:tc>
          <w:tcPr>
            <w:tcW w:w="851" w:type="dxa"/>
            <w:tcBorders>
              <w:top w:val="nil"/>
              <w:left w:val="nil"/>
              <w:bottom w:val="nil"/>
              <w:right w:val="nil"/>
            </w:tcBorders>
            <w:shd w:val="clear" w:color="000000" w:fill="FFFFFF"/>
          </w:tcPr>
          <w:p w14:paraId="3A1070D3" w14:textId="77777777" w:rsidR="008D3DAA" w:rsidRPr="005767EF" w:rsidRDefault="008D3DAA" w:rsidP="00091285">
            <w:pPr>
              <w:rPr>
                <w:rFonts w:asciiTheme="minorHAnsi" w:hAnsiTheme="minorHAnsi"/>
                <w:b/>
                <w:bCs/>
                <w:color w:val="FF0000"/>
                <w:sz w:val="20"/>
                <w:szCs w:val="20"/>
                <w:lang w:val="sr-Cyrl-RS" w:eastAsia="sr-Latn-RS"/>
              </w:rPr>
            </w:pPr>
          </w:p>
        </w:tc>
      </w:tr>
      <w:tr w:rsidR="008C27E1" w:rsidRPr="005767EF" w14:paraId="5923ADF8" w14:textId="77777777" w:rsidTr="008C27E1">
        <w:trPr>
          <w:trHeight w:val="513"/>
        </w:trPr>
        <w:tc>
          <w:tcPr>
            <w:tcW w:w="8789" w:type="dxa"/>
            <w:gridSpan w:val="3"/>
            <w:tcBorders>
              <w:top w:val="nil"/>
              <w:left w:val="nil"/>
              <w:bottom w:val="nil"/>
              <w:right w:val="nil"/>
            </w:tcBorders>
            <w:shd w:val="clear" w:color="000000" w:fill="FFFFFF"/>
          </w:tcPr>
          <w:p w14:paraId="5E1F5666" w14:textId="77777777" w:rsidR="008C27E1" w:rsidRDefault="008C27E1" w:rsidP="00091285">
            <w:pPr>
              <w:rPr>
                <w:rFonts w:asciiTheme="minorHAnsi" w:hAnsiTheme="minorHAnsi"/>
                <w:b/>
                <w:sz w:val="20"/>
                <w:szCs w:val="20"/>
                <w:lang w:val="sr-Cyrl-BA" w:eastAsia="sr-Latn-RS"/>
              </w:rPr>
            </w:pPr>
          </w:p>
          <w:p w14:paraId="73427F89" w14:textId="77777777" w:rsidR="008C27E1" w:rsidRPr="005767EF" w:rsidRDefault="008C27E1" w:rsidP="008C27E1">
            <w:pPr>
              <w:jc w:val="right"/>
              <w:rPr>
                <w:rFonts w:asciiTheme="minorHAnsi" w:hAnsiTheme="minorHAnsi"/>
                <w:b/>
                <w:sz w:val="20"/>
                <w:szCs w:val="20"/>
                <w:lang w:val="sr-Cyrl-BA" w:eastAsia="sr-Latn-RS"/>
              </w:rPr>
            </w:pPr>
            <w:r>
              <w:rPr>
                <w:rFonts w:asciiTheme="minorHAnsi" w:hAnsiTheme="minorHAnsi"/>
                <w:b/>
                <w:sz w:val="20"/>
                <w:szCs w:val="20"/>
                <w:lang w:val="sr-Cyrl-BA" w:eastAsia="sr-Latn-RS"/>
              </w:rPr>
              <w:t xml:space="preserve">      </w:t>
            </w:r>
            <w:r w:rsidRPr="005767EF">
              <w:rPr>
                <w:rFonts w:asciiTheme="minorHAnsi" w:hAnsiTheme="minorHAnsi"/>
                <w:b/>
                <w:sz w:val="20"/>
                <w:szCs w:val="20"/>
                <w:lang w:val="sr-Cyrl-BA" w:eastAsia="sr-Latn-RS"/>
              </w:rPr>
              <w:t xml:space="preserve">Табела </w:t>
            </w:r>
            <w:r>
              <w:rPr>
                <w:rFonts w:asciiTheme="minorHAnsi" w:hAnsiTheme="minorHAnsi"/>
                <w:b/>
                <w:sz w:val="20"/>
                <w:szCs w:val="20"/>
                <w:lang w:val="sr-Cyrl-BA" w:eastAsia="sr-Latn-RS"/>
              </w:rPr>
              <w:t>8</w:t>
            </w:r>
          </w:p>
        </w:tc>
      </w:tr>
    </w:tbl>
    <w:tbl>
      <w:tblPr>
        <w:tblStyle w:val="TableGrid"/>
        <w:tblW w:w="8804" w:type="dxa"/>
        <w:tblInd w:w="93" w:type="dxa"/>
        <w:tblLayout w:type="fixed"/>
        <w:tblLook w:val="04A0" w:firstRow="1" w:lastRow="0" w:firstColumn="1" w:lastColumn="0" w:noHBand="0" w:noVBand="1"/>
      </w:tblPr>
      <w:tblGrid>
        <w:gridCol w:w="2567"/>
        <w:gridCol w:w="992"/>
        <w:gridCol w:w="1559"/>
        <w:gridCol w:w="1276"/>
        <w:gridCol w:w="1276"/>
        <w:gridCol w:w="1134"/>
      </w:tblGrid>
      <w:tr w:rsidR="008C27E1" w:rsidRPr="008C27E1" w14:paraId="4E03EC14" w14:textId="77777777" w:rsidTr="008C27E1">
        <w:trPr>
          <w:trHeight w:val="854"/>
        </w:trPr>
        <w:tc>
          <w:tcPr>
            <w:tcW w:w="2567" w:type="dxa"/>
            <w:shd w:val="clear" w:color="auto" w:fill="8DB3E2" w:themeFill="text2" w:themeFillTint="66"/>
            <w:vAlign w:val="center"/>
            <w:hideMark/>
          </w:tcPr>
          <w:p w14:paraId="48D5DF08"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Финансијски посредник</w:t>
            </w:r>
          </w:p>
        </w:tc>
        <w:tc>
          <w:tcPr>
            <w:tcW w:w="992" w:type="dxa"/>
            <w:shd w:val="clear" w:color="auto" w:fill="8DB3E2" w:themeFill="text2" w:themeFillTint="66"/>
            <w:vAlign w:val="center"/>
            <w:hideMark/>
          </w:tcPr>
          <w:p w14:paraId="4FDA0AE0" w14:textId="77777777" w:rsidR="008C27E1" w:rsidRPr="00A944C8" w:rsidRDefault="008C27E1" w:rsidP="008C27E1">
            <w:pPr>
              <w:autoSpaceDE w:val="0"/>
              <w:autoSpaceDN w:val="0"/>
              <w:adjustRightInd w:val="0"/>
              <w:ind w:right="-108"/>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Број гаранција</w:t>
            </w:r>
          </w:p>
        </w:tc>
        <w:tc>
          <w:tcPr>
            <w:tcW w:w="1559" w:type="dxa"/>
            <w:shd w:val="clear" w:color="auto" w:fill="8DB3E2" w:themeFill="text2" w:themeFillTint="66"/>
            <w:vAlign w:val="center"/>
            <w:hideMark/>
          </w:tcPr>
          <w:p w14:paraId="7AE00C76"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Номинални износ гаранције</w:t>
            </w:r>
          </w:p>
        </w:tc>
        <w:tc>
          <w:tcPr>
            <w:tcW w:w="1276" w:type="dxa"/>
            <w:shd w:val="clear" w:color="auto" w:fill="8DB3E2" w:themeFill="text2" w:themeFillTint="66"/>
            <w:vAlign w:val="center"/>
            <w:hideMark/>
          </w:tcPr>
          <w:p w14:paraId="004B09F3"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Преостали износ гаранције</w:t>
            </w:r>
          </w:p>
        </w:tc>
        <w:tc>
          <w:tcPr>
            <w:tcW w:w="1276" w:type="dxa"/>
            <w:shd w:val="clear" w:color="auto" w:fill="8DB3E2" w:themeFill="text2" w:themeFillTint="66"/>
            <w:vAlign w:val="center"/>
            <w:hideMark/>
          </w:tcPr>
          <w:p w14:paraId="59C96526"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p>
          <w:p w14:paraId="1E3A53A7"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Учешће</w:t>
            </w:r>
          </w:p>
          <w:p w14:paraId="3EA7DE4C"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p>
        </w:tc>
        <w:tc>
          <w:tcPr>
            <w:tcW w:w="1134" w:type="dxa"/>
            <w:shd w:val="clear" w:color="auto" w:fill="8DB3E2" w:themeFill="text2" w:themeFillTint="66"/>
            <w:vAlign w:val="center"/>
            <w:hideMark/>
          </w:tcPr>
          <w:p w14:paraId="4907DF07" w14:textId="77777777" w:rsidR="008C27E1" w:rsidRPr="00A944C8" w:rsidRDefault="008C27E1" w:rsidP="008C27E1">
            <w:pPr>
              <w:autoSpaceDE w:val="0"/>
              <w:autoSpaceDN w:val="0"/>
              <w:adjustRightInd w:val="0"/>
              <w:ind w:left="-108" w:right="-108"/>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val="sr-Cyrl-BA" w:eastAsia="en-US"/>
              </w:rPr>
              <w:t>Изложеност</w:t>
            </w:r>
          </w:p>
        </w:tc>
      </w:tr>
      <w:tr w:rsidR="008E0518" w:rsidRPr="008C27E1" w14:paraId="667BE1AD" w14:textId="77777777" w:rsidTr="008E0518">
        <w:trPr>
          <w:trHeight w:val="330"/>
        </w:trPr>
        <w:tc>
          <w:tcPr>
            <w:tcW w:w="2567" w:type="dxa"/>
            <w:vAlign w:val="center"/>
            <w:hideMark/>
          </w:tcPr>
          <w:p w14:paraId="0784A19F"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 xml:space="preserve">Мф банка а.д. Бања Лука  </w:t>
            </w:r>
          </w:p>
        </w:tc>
        <w:tc>
          <w:tcPr>
            <w:tcW w:w="992" w:type="dxa"/>
            <w:vAlign w:val="center"/>
            <w:hideMark/>
          </w:tcPr>
          <w:p w14:paraId="063908E3"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40</w:t>
            </w:r>
          </w:p>
        </w:tc>
        <w:tc>
          <w:tcPr>
            <w:tcW w:w="1559" w:type="dxa"/>
            <w:vAlign w:val="center"/>
            <w:hideMark/>
          </w:tcPr>
          <w:p w14:paraId="5516A1D0"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9.466.078,44</w:t>
            </w:r>
          </w:p>
        </w:tc>
        <w:tc>
          <w:tcPr>
            <w:tcW w:w="1276" w:type="dxa"/>
            <w:vAlign w:val="center"/>
            <w:hideMark/>
          </w:tcPr>
          <w:p w14:paraId="604A8EFD"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7.399.343,66</w:t>
            </w:r>
          </w:p>
        </w:tc>
        <w:tc>
          <w:tcPr>
            <w:tcW w:w="1276" w:type="dxa"/>
            <w:vAlign w:val="center"/>
            <w:hideMark/>
          </w:tcPr>
          <w:p w14:paraId="275C655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38,11%</w:t>
            </w:r>
          </w:p>
        </w:tc>
        <w:tc>
          <w:tcPr>
            <w:tcW w:w="1134" w:type="dxa"/>
            <w:vAlign w:val="center"/>
            <w:hideMark/>
          </w:tcPr>
          <w:p w14:paraId="1EA97861" w14:textId="77777777" w:rsidR="008E0518" w:rsidRPr="008E0518" w:rsidRDefault="008E0518">
            <w:pPr>
              <w:jc w:val="center"/>
              <w:rPr>
                <w:rFonts w:ascii="Calibri" w:hAnsi="Calibri"/>
                <w:sz w:val="18"/>
                <w:szCs w:val="18"/>
              </w:rPr>
            </w:pPr>
            <w:r w:rsidRPr="008E0518">
              <w:rPr>
                <w:rFonts w:ascii="Calibri" w:hAnsi="Calibri"/>
                <w:sz w:val="18"/>
                <w:szCs w:val="18"/>
              </w:rPr>
              <w:t>27,40%</w:t>
            </w:r>
          </w:p>
        </w:tc>
      </w:tr>
      <w:tr w:rsidR="008E0518" w:rsidRPr="008C27E1" w14:paraId="5CD4F51D" w14:textId="77777777" w:rsidTr="008E0518">
        <w:trPr>
          <w:trHeight w:val="780"/>
        </w:trPr>
        <w:tc>
          <w:tcPr>
            <w:tcW w:w="2567" w:type="dxa"/>
            <w:vAlign w:val="center"/>
            <w:hideMark/>
          </w:tcPr>
          <w:p w14:paraId="398D8BC8"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Фонд за развој и запошљавање РС а.д. Бања Лука</w:t>
            </w:r>
          </w:p>
        </w:tc>
        <w:tc>
          <w:tcPr>
            <w:tcW w:w="992" w:type="dxa"/>
            <w:vAlign w:val="center"/>
            <w:hideMark/>
          </w:tcPr>
          <w:p w14:paraId="06383AA5"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10</w:t>
            </w:r>
          </w:p>
        </w:tc>
        <w:tc>
          <w:tcPr>
            <w:tcW w:w="1559" w:type="dxa"/>
            <w:vAlign w:val="center"/>
            <w:hideMark/>
          </w:tcPr>
          <w:p w14:paraId="362E8E41"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8.146.441,56</w:t>
            </w:r>
          </w:p>
        </w:tc>
        <w:tc>
          <w:tcPr>
            <w:tcW w:w="1276" w:type="dxa"/>
            <w:vAlign w:val="center"/>
            <w:hideMark/>
          </w:tcPr>
          <w:p w14:paraId="331423F0"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4.565.612,75</w:t>
            </w:r>
          </w:p>
        </w:tc>
        <w:tc>
          <w:tcPr>
            <w:tcW w:w="1276" w:type="dxa"/>
            <w:vAlign w:val="center"/>
            <w:hideMark/>
          </w:tcPr>
          <w:p w14:paraId="26B37D3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23,52%</w:t>
            </w:r>
          </w:p>
        </w:tc>
        <w:tc>
          <w:tcPr>
            <w:tcW w:w="1134" w:type="dxa"/>
            <w:vAlign w:val="center"/>
            <w:hideMark/>
          </w:tcPr>
          <w:p w14:paraId="4ED858D6" w14:textId="77777777" w:rsidR="008E0518" w:rsidRPr="008E0518" w:rsidRDefault="008E0518">
            <w:pPr>
              <w:jc w:val="center"/>
              <w:rPr>
                <w:rFonts w:ascii="Calibri" w:hAnsi="Calibri"/>
                <w:sz w:val="18"/>
                <w:szCs w:val="18"/>
              </w:rPr>
            </w:pPr>
            <w:r w:rsidRPr="008E0518">
              <w:rPr>
                <w:rFonts w:ascii="Calibri" w:hAnsi="Calibri"/>
                <w:sz w:val="18"/>
                <w:szCs w:val="18"/>
              </w:rPr>
              <w:t>16,91%</w:t>
            </w:r>
          </w:p>
        </w:tc>
      </w:tr>
      <w:tr w:rsidR="008E0518" w:rsidRPr="008C27E1" w14:paraId="7416BB00" w14:textId="77777777" w:rsidTr="008E0518">
        <w:trPr>
          <w:trHeight w:val="330"/>
        </w:trPr>
        <w:tc>
          <w:tcPr>
            <w:tcW w:w="2567" w:type="dxa"/>
            <w:vAlign w:val="center"/>
            <w:hideMark/>
          </w:tcPr>
          <w:p w14:paraId="70CC3E89"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Нова банка а.д. Бања Лука</w:t>
            </w:r>
          </w:p>
        </w:tc>
        <w:tc>
          <w:tcPr>
            <w:tcW w:w="992" w:type="dxa"/>
            <w:vAlign w:val="center"/>
            <w:hideMark/>
          </w:tcPr>
          <w:p w14:paraId="66880846"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16</w:t>
            </w:r>
          </w:p>
        </w:tc>
        <w:tc>
          <w:tcPr>
            <w:tcW w:w="1559" w:type="dxa"/>
            <w:vAlign w:val="center"/>
            <w:hideMark/>
          </w:tcPr>
          <w:p w14:paraId="0BB26509"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4.562.490,00</w:t>
            </w:r>
          </w:p>
        </w:tc>
        <w:tc>
          <w:tcPr>
            <w:tcW w:w="1276" w:type="dxa"/>
            <w:vAlign w:val="center"/>
            <w:hideMark/>
          </w:tcPr>
          <w:p w14:paraId="55DACA8F"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3.145.029,40</w:t>
            </w:r>
          </w:p>
        </w:tc>
        <w:tc>
          <w:tcPr>
            <w:tcW w:w="1276" w:type="dxa"/>
            <w:vAlign w:val="center"/>
            <w:hideMark/>
          </w:tcPr>
          <w:p w14:paraId="4599A3F2"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16,20%</w:t>
            </w:r>
          </w:p>
        </w:tc>
        <w:tc>
          <w:tcPr>
            <w:tcW w:w="1134" w:type="dxa"/>
            <w:vAlign w:val="center"/>
            <w:hideMark/>
          </w:tcPr>
          <w:p w14:paraId="32334625" w14:textId="77777777" w:rsidR="008E0518" w:rsidRPr="008E0518" w:rsidRDefault="008E0518">
            <w:pPr>
              <w:jc w:val="center"/>
              <w:rPr>
                <w:rFonts w:ascii="Calibri" w:hAnsi="Calibri"/>
                <w:sz w:val="18"/>
                <w:szCs w:val="18"/>
              </w:rPr>
            </w:pPr>
            <w:r w:rsidRPr="008E0518">
              <w:rPr>
                <w:rFonts w:ascii="Calibri" w:hAnsi="Calibri"/>
                <w:sz w:val="18"/>
                <w:szCs w:val="18"/>
              </w:rPr>
              <w:t>11,65%</w:t>
            </w:r>
          </w:p>
        </w:tc>
      </w:tr>
      <w:tr w:rsidR="008E0518" w:rsidRPr="008C27E1" w14:paraId="27F8650B" w14:textId="77777777" w:rsidTr="008E0518">
        <w:trPr>
          <w:trHeight w:val="330"/>
        </w:trPr>
        <w:tc>
          <w:tcPr>
            <w:tcW w:w="2567" w:type="dxa"/>
            <w:vAlign w:val="center"/>
            <w:hideMark/>
          </w:tcPr>
          <w:p w14:paraId="2710ECBB"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 xml:space="preserve">Procredit bank д.д. Сарајево  </w:t>
            </w:r>
          </w:p>
        </w:tc>
        <w:tc>
          <w:tcPr>
            <w:tcW w:w="992" w:type="dxa"/>
            <w:vAlign w:val="center"/>
            <w:hideMark/>
          </w:tcPr>
          <w:p w14:paraId="4F5693FB"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5</w:t>
            </w:r>
          </w:p>
        </w:tc>
        <w:tc>
          <w:tcPr>
            <w:tcW w:w="1559" w:type="dxa"/>
            <w:vAlign w:val="center"/>
            <w:hideMark/>
          </w:tcPr>
          <w:p w14:paraId="4777DA0D"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2.594.288,72</w:t>
            </w:r>
          </w:p>
        </w:tc>
        <w:tc>
          <w:tcPr>
            <w:tcW w:w="1276" w:type="dxa"/>
            <w:vAlign w:val="center"/>
            <w:hideMark/>
          </w:tcPr>
          <w:p w14:paraId="5BF504B4"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2.409.208,33</w:t>
            </w:r>
          </w:p>
        </w:tc>
        <w:tc>
          <w:tcPr>
            <w:tcW w:w="1276" w:type="dxa"/>
            <w:vAlign w:val="center"/>
            <w:hideMark/>
          </w:tcPr>
          <w:p w14:paraId="61C26161"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12,41%</w:t>
            </w:r>
          </w:p>
        </w:tc>
        <w:tc>
          <w:tcPr>
            <w:tcW w:w="1134" w:type="dxa"/>
            <w:vAlign w:val="center"/>
            <w:hideMark/>
          </w:tcPr>
          <w:p w14:paraId="791EA6F8" w14:textId="77777777" w:rsidR="008E0518" w:rsidRPr="008E0518" w:rsidRDefault="008E0518">
            <w:pPr>
              <w:jc w:val="center"/>
              <w:rPr>
                <w:rFonts w:ascii="Calibri" w:hAnsi="Calibri"/>
                <w:sz w:val="18"/>
                <w:szCs w:val="18"/>
              </w:rPr>
            </w:pPr>
            <w:r w:rsidRPr="008E0518">
              <w:rPr>
                <w:rFonts w:ascii="Calibri" w:hAnsi="Calibri"/>
                <w:sz w:val="18"/>
                <w:szCs w:val="18"/>
              </w:rPr>
              <w:t>8,92%</w:t>
            </w:r>
          </w:p>
        </w:tc>
      </w:tr>
      <w:tr w:rsidR="008E0518" w:rsidRPr="008C27E1" w14:paraId="25ACE93C" w14:textId="77777777" w:rsidTr="008E0518">
        <w:trPr>
          <w:trHeight w:val="330"/>
        </w:trPr>
        <w:tc>
          <w:tcPr>
            <w:tcW w:w="2567" w:type="dxa"/>
            <w:vAlign w:val="center"/>
            <w:hideMark/>
          </w:tcPr>
          <w:p w14:paraId="7F490EAA"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 xml:space="preserve">БПШ банка а.д. Бања Лука  </w:t>
            </w:r>
          </w:p>
        </w:tc>
        <w:tc>
          <w:tcPr>
            <w:tcW w:w="992" w:type="dxa"/>
            <w:vAlign w:val="center"/>
            <w:hideMark/>
          </w:tcPr>
          <w:p w14:paraId="30C48E63"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9</w:t>
            </w:r>
          </w:p>
        </w:tc>
        <w:tc>
          <w:tcPr>
            <w:tcW w:w="1559" w:type="dxa"/>
            <w:vAlign w:val="center"/>
            <w:hideMark/>
          </w:tcPr>
          <w:p w14:paraId="7F9744E7"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1.215.000,00</w:t>
            </w:r>
          </w:p>
        </w:tc>
        <w:tc>
          <w:tcPr>
            <w:tcW w:w="1276" w:type="dxa"/>
            <w:vAlign w:val="center"/>
            <w:hideMark/>
          </w:tcPr>
          <w:p w14:paraId="693B430F"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732.607,30</w:t>
            </w:r>
          </w:p>
        </w:tc>
        <w:tc>
          <w:tcPr>
            <w:tcW w:w="1276" w:type="dxa"/>
            <w:vAlign w:val="center"/>
            <w:hideMark/>
          </w:tcPr>
          <w:p w14:paraId="21887B15"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3,77%</w:t>
            </w:r>
          </w:p>
        </w:tc>
        <w:tc>
          <w:tcPr>
            <w:tcW w:w="1134" w:type="dxa"/>
            <w:vAlign w:val="center"/>
            <w:hideMark/>
          </w:tcPr>
          <w:p w14:paraId="0BE685EF" w14:textId="77777777" w:rsidR="008E0518" w:rsidRPr="008E0518" w:rsidRDefault="008E0518">
            <w:pPr>
              <w:jc w:val="center"/>
              <w:rPr>
                <w:rFonts w:ascii="Calibri" w:hAnsi="Calibri"/>
                <w:sz w:val="18"/>
                <w:szCs w:val="18"/>
              </w:rPr>
            </w:pPr>
            <w:r w:rsidRPr="008E0518">
              <w:rPr>
                <w:rFonts w:ascii="Calibri" w:hAnsi="Calibri"/>
                <w:sz w:val="18"/>
                <w:szCs w:val="18"/>
              </w:rPr>
              <w:t>2,71%</w:t>
            </w:r>
          </w:p>
        </w:tc>
      </w:tr>
      <w:tr w:rsidR="008E0518" w:rsidRPr="008C27E1" w14:paraId="23E7C86C" w14:textId="77777777" w:rsidTr="008E0518">
        <w:trPr>
          <w:trHeight w:val="330"/>
        </w:trPr>
        <w:tc>
          <w:tcPr>
            <w:tcW w:w="2567" w:type="dxa"/>
            <w:vAlign w:val="center"/>
            <w:hideMark/>
          </w:tcPr>
          <w:p w14:paraId="757C5A3E"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 xml:space="preserve">Unicredit bank а.д. Бања Лука  </w:t>
            </w:r>
          </w:p>
        </w:tc>
        <w:tc>
          <w:tcPr>
            <w:tcW w:w="992" w:type="dxa"/>
            <w:vAlign w:val="center"/>
            <w:hideMark/>
          </w:tcPr>
          <w:p w14:paraId="3E9EE63F"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2</w:t>
            </w:r>
          </w:p>
        </w:tc>
        <w:tc>
          <w:tcPr>
            <w:tcW w:w="1559" w:type="dxa"/>
            <w:vAlign w:val="center"/>
            <w:hideMark/>
          </w:tcPr>
          <w:p w14:paraId="70F3E41D"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694.572,32</w:t>
            </w:r>
          </w:p>
        </w:tc>
        <w:tc>
          <w:tcPr>
            <w:tcW w:w="1276" w:type="dxa"/>
            <w:vAlign w:val="center"/>
            <w:hideMark/>
          </w:tcPr>
          <w:p w14:paraId="57831595"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453.728,21</w:t>
            </w:r>
          </w:p>
        </w:tc>
        <w:tc>
          <w:tcPr>
            <w:tcW w:w="1276" w:type="dxa"/>
            <w:vAlign w:val="center"/>
            <w:hideMark/>
          </w:tcPr>
          <w:p w14:paraId="5ADFE871"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2,34%</w:t>
            </w:r>
          </w:p>
        </w:tc>
        <w:tc>
          <w:tcPr>
            <w:tcW w:w="1134" w:type="dxa"/>
            <w:vAlign w:val="center"/>
            <w:hideMark/>
          </w:tcPr>
          <w:p w14:paraId="5AE525CB" w14:textId="77777777" w:rsidR="008E0518" w:rsidRPr="008E0518" w:rsidRDefault="008E0518">
            <w:pPr>
              <w:jc w:val="center"/>
              <w:rPr>
                <w:rFonts w:ascii="Calibri" w:hAnsi="Calibri"/>
                <w:sz w:val="18"/>
                <w:szCs w:val="18"/>
              </w:rPr>
            </w:pPr>
            <w:r w:rsidRPr="008E0518">
              <w:rPr>
                <w:rFonts w:ascii="Calibri" w:hAnsi="Calibri"/>
                <w:sz w:val="18"/>
                <w:szCs w:val="18"/>
              </w:rPr>
              <w:t>1,68%</w:t>
            </w:r>
          </w:p>
        </w:tc>
      </w:tr>
      <w:tr w:rsidR="008E0518" w:rsidRPr="008C27E1" w14:paraId="66DD4C69" w14:textId="77777777" w:rsidTr="008E0518">
        <w:trPr>
          <w:trHeight w:val="330"/>
        </w:trPr>
        <w:tc>
          <w:tcPr>
            <w:tcW w:w="2567" w:type="dxa"/>
            <w:vAlign w:val="center"/>
            <w:hideMark/>
          </w:tcPr>
          <w:p w14:paraId="0E008B63"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 xml:space="preserve">Атос банка а.д. Бања Лука  </w:t>
            </w:r>
          </w:p>
        </w:tc>
        <w:tc>
          <w:tcPr>
            <w:tcW w:w="992" w:type="dxa"/>
            <w:vAlign w:val="center"/>
            <w:hideMark/>
          </w:tcPr>
          <w:p w14:paraId="45F018A0"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4</w:t>
            </w:r>
          </w:p>
        </w:tc>
        <w:tc>
          <w:tcPr>
            <w:tcW w:w="1559" w:type="dxa"/>
            <w:vAlign w:val="center"/>
            <w:hideMark/>
          </w:tcPr>
          <w:p w14:paraId="26ED8CCA"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920.000,00</w:t>
            </w:r>
          </w:p>
        </w:tc>
        <w:tc>
          <w:tcPr>
            <w:tcW w:w="1276" w:type="dxa"/>
            <w:vAlign w:val="center"/>
            <w:hideMark/>
          </w:tcPr>
          <w:p w14:paraId="023EF2FC"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426.930,74</w:t>
            </w:r>
          </w:p>
        </w:tc>
        <w:tc>
          <w:tcPr>
            <w:tcW w:w="1276" w:type="dxa"/>
            <w:vAlign w:val="center"/>
            <w:hideMark/>
          </w:tcPr>
          <w:p w14:paraId="43FC599B"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2,20%</w:t>
            </w:r>
          </w:p>
        </w:tc>
        <w:tc>
          <w:tcPr>
            <w:tcW w:w="1134" w:type="dxa"/>
            <w:vAlign w:val="center"/>
            <w:hideMark/>
          </w:tcPr>
          <w:p w14:paraId="430661A8" w14:textId="77777777" w:rsidR="008E0518" w:rsidRPr="008E0518" w:rsidRDefault="008E0518">
            <w:pPr>
              <w:jc w:val="center"/>
              <w:rPr>
                <w:rFonts w:ascii="Calibri" w:hAnsi="Calibri"/>
                <w:sz w:val="18"/>
                <w:szCs w:val="18"/>
              </w:rPr>
            </w:pPr>
            <w:r w:rsidRPr="008E0518">
              <w:rPr>
                <w:rFonts w:ascii="Calibri" w:hAnsi="Calibri"/>
                <w:sz w:val="18"/>
                <w:szCs w:val="18"/>
              </w:rPr>
              <w:t>1,58%</w:t>
            </w:r>
          </w:p>
        </w:tc>
      </w:tr>
      <w:tr w:rsidR="008E0518" w:rsidRPr="008C27E1" w14:paraId="258390EF" w14:textId="77777777" w:rsidTr="008E0518">
        <w:trPr>
          <w:trHeight w:val="330"/>
        </w:trPr>
        <w:tc>
          <w:tcPr>
            <w:tcW w:w="2567" w:type="dxa"/>
            <w:vAlign w:val="center"/>
            <w:hideMark/>
          </w:tcPr>
          <w:p w14:paraId="52C944F1"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 xml:space="preserve">Ziraat bank д.д. Сарајево  </w:t>
            </w:r>
          </w:p>
        </w:tc>
        <w:tc>
          <w:tcPr>
            <w:tcW w:w="992" w:type="dxa"/>
            <w:vAlign w:val="center"/>
            <w:hideMark/>
          </w:tcPr>
          <w:p w14:paraId="0E66A181"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2</w:t>
            </w:r>
          </w:p>
        </w:tc>
        <w:tc>
          <w:tcPr>
            <w:tcW w:w="1559" w:type="dxa"/>
            <w:vAlign w:val="center"/>
            <w:hideMark/>
          </w:tcPr>
          <w:p w14:paraId="124E7E13"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165.000,00</w:t>
            </w:r>
          </w:p>
        </w:tc>
        <w:tc>
          <w:tcPr>
            <w:tcW w:w="1276" w:type="dxa"/>
            <w:vAlign w:val="center"/>
            <w:hideMark/>
          </w:tcPr>
          <w:p w14:paraId="684758D2"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91.660,40</w:t>
            </w:r>
          </w:p>
        </w:tc>
        <w:tc>
          <w:tcPr>
            <w:tcW w:w="1276" w:type="dxa"/>
            <w:vAlign w:val="center"/>
            <w:hideMark/>
          </w:tcPr>
          <w:p w14:paraId="142759CB"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0,47%</w:t>
            </w:r>
          </w:p>
        </w:tc>
        <w:tc>
          <w:tcPr>
            <w:tcW w:w="1134" w:type="dxa"/>
            <w:vAlign w:val="center"/>
            <w:hideMark/>
          </w:tcPr>
          <w:p w14:paraId="44AC6AA2" w14:textId="77777777" w:rsidR="008E0518" w:rsidRPr="008E0518" w:rsidRDefault="008E0518">
            <w:pPr>
              <w:jc w:val="center"/>
              <w:rPr>
                <w:rFonts w:ascii="Calibri" w:hAnsi="Calibri"/>
                <w:sz w:val="18"/>
                <w:szCs w:val="18"/>
              </w:rPr>
            </w:pPr>
            <w:r w:rsidRPr="008E0518">
              <w:rPr>
                <w:rFonts w:ascii="Calibri" w:hAnsi="Calibri"/>
                <w:sz w:val="18"/>
                <w:szCs w:val="18"/>
              </w:rPr>
              <w:t>0,34%</w:t>
            </w:r>
          </w:p>
        </w:tc>
      </w:tr>
      <w:tr w:rsidR="008E0518" w:rsidRPr="008C27E1" w14:paraId="40EE0E26" w14:textId="77777777" w:rsidTr="008E0518">
        <w:trPr>
          <w:trHeight w:val="525"/>
        </w:trPr>
        <w:tc>
          <w:tcPr>
            <w:tcW w:w="2567" w:type="dxa"/>
            <w:vAlign w:val="center"/>
            <w:hideMark/>
          </w:tcPr>
          <w:p w14:paraId="435BF09F"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Банка Српске у стечају  а.д. Бања Лука</w:t>
            </w:r>
          </w:p>
        </w:tc>
        <w:tc>
          <w:tcPr>
            <w:tcW w:w="992" w:type="dxa"/>
            <w:vAlign w:val="center"/>
            <w:hideMark/>
          </w:tcPr>
          <w:p w14:paraId="392AEEC3"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2</w:t>
            </w:r>
          </w:p>
        </w:tc>
        <w:tc>
          <w:tcPr>
            <w:tcW w:w="1559" w:type="dxa"/>
            <w:vAlign w:val="center"/>
            <w:hideMark/>
          </w:tcPr>
          <w:p w14:paraId="3F167100"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125.000,00</w:t>
            </w:r>
          </w:p>
        </w:tc>
        <w:tc>
          <w:tcPr>
            <w:tcW w:w="1276" w:type="dxa"/>
            <w:vAlign w:val="center"/>
            <w:hideMark/>
          </w:tcPr>
          <w:p w14:paraId="5AF9F5C0"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72.199,86</w:t>
            </w:r>
          </w:p>
        </w:tc>
        <w:tc>
          <w:tcPr>
            <w:tcW w:w="1276" w:type="dxa"/>
            <w:vAlign w:val="center"/>
            <w:hideMark/>
          </w:tcPr>
          <w:p w14:paraId="42559E0B"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0,37%</w:t>
            </w:r>
          </w:p>
        </w:tc>
        <w:tc>
          <w:tcPr>
            <w:tcW w:w="1134" w:type="dxa"/>
            <w:vAlign w:val="center"/>
            <w:hideMark/>
          </w:tcPr>
          <w:p w14:paraId="699CD6EC" w14:textId="77777777" w:rsidR="008E0518" w:rsidRPr="008E0518" w:rsidRDefault="008E0518">
            <w:pPr>
              <w:jc w:val="center"/>
              <w:rPr>
                <w:rFonts w:ascii="Calibri" w:hAnsi="Calibri"/>
                <w:sz w:val="18"/>
                <w:szCs w:val="18"/>
              </w:rPr>
            </w:pPr>
            <w:r w:rsidRPr="008E0518">
              <w:rPr>
                <w:rFonts w:ascii="Calibri" w:hAnsi="Calibri"/>
                <w:sz w:val="18"/>
                <w:szCs w:val="18"/>
              </w:rPr>
              <w:t>0,27%</w:t>
            </w:r>
          </w:p>
        </w:tc>
      </w:tr>
      <w:tr w:rsidR="008E0518" w:rsidRPr="008C27E1" w14:paraId="1CD33E3F" w14:textId="77777777" w:rsidTr="008E0518">
        <w:trPr>
          <w:trHeight w:val="330"/>
        </w:trPr>
        <w:tc>
          <w:tcPr>
            <w:tcW w:w="2567" w:type="dxa"/>
            <w:vAlign w:val="center"/>
            <w:hideMark/>
          </w:tcPr>
          <w:p w14:paraId="07A1AFA9"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BA" w:eastAsia="en-US"/>
              </w:rPr>
              <w:t>Наша банка а.д. Бијељина</w:t>
            </w:r>
          </w:p>
        </w:tc>
        <w:tc>
          <w:tcPr>
            <w:tcW w:w="992" w:type="dxa"/>
            <w:vAlign w:val="center"/>
            <w:hideMark/>
          </w:tcPr>
          <w:p w14:paraId="60DC906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4</w:t>
            </w:r>
          </w:p>
        </w:tc>
        <w:tc>
          <w:tcPr>
            <w:tcW w:w="1559" w:type="dxa"/>
            <w:vAlign w:val="center"/>
            <w:hideMark/>
          </w:tcPr>
          <w:p w14:paraId="089DA1FB"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97.500,00</w:t>
            </w:r>
          </w:p>
        </w:tc>
        <w:tc>
          <w:tcPr>
            <w:tcW w:w="1276" w:type="dxa"/>
            <w:vAlign w:val="center"/>
            <w:hideMark/>
          </w:tcPr>
          <w:p w14:paraId="225BE1BE"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65.240,47</w:t>
            </w:r>
          </w:p>
        </w:tc>
        <w:tc>
          <w:tcPr>
            <w:tcW w:w="1276" w:type="dxa"/>
            <w:vAlign w:val="center"/>
            <w:hideMark/>
          </w:tcPr>
          <w:p w14:paraId="39EFFB68"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0,34%</w:t>
            </w:r>
          </w:p>
        </w:tc>
        <w:tc>
          <w:tcPr>
            <w:tcW w:w="1134" w:type="dxa"/>
            <w:vAlign w:val="center"/>
            <w:hideMark/>
          </w:tcPr>
          <w:p w14:paraId="468CA643" w14:textId="77777777" w:rsidR="008E0518" w:rsidRPr="008E0518" w:rsidRDefault="008E0518">
            <w:pPr>
              <w:jc w:val="center"/>
              <w:rPr>
                <w:rFonts w:ascii="Calibri" w:hAnsi="Calibri"/>
                <w:sz w:val="18"/>
                <w:szCs w:val="18"/>
              </w:rPr>
            </w:pPr>
            <w:r w:rsidRPr="008E0518">
              <w:rPr>
                <w:rFonts w:ascii="Calibri" w:hAnsi="Calibri"/>
                <w:sz w:val="18"/>
                <w:szCs w:val="18"/>
              </w:rPr>
              <w:t>0,24%</w:t>
            </w:r>
          </w:p>
        </w:tc>
      </w:tr>
      <w:tr w:rsidR="008E0518" w:rsidRPr="008C27E1" w14:paraId="776CA030" w14:textId="77777777" w:rsidTr="008E0518">
        <w:trPr>
          <w:trHeight w:val="330"/>
        </w:trPr>
        <w:tc>
          <w:tcPr>
            <w:tcW w:w="2567" w:type="dxa"/>
            <w:vAlign w:val="center"/>
            <w:hideMark/>
          </w:tcPr>
          <w:p w14:paraId="6F07AB8F"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Нлб банка а.д. Бања Лука</w:t>
            </w:r>
          </w:p>
        </w:tc>
        <w:tc>
          <w:tcPr>
            <w:tcW w:w="992" w:type="dxa"/>
            <w:vAlign w:val="center"/>
            <w:hideMark/>
          </w:tcPr>
          <w:p w14:paraId="144D8164"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Latn-RS" w:eastAsia="en-US"/>
              </w:rPr>
              <w:t>1</w:t>
            </w:r>
          </w:p>
        </w:tc>
        <w:tc>
          <w:tcPr>
            <w:tcW w:w="1559" w:type="dxa"/>
            <w:vAlign w:val="center"/>
            <w:hideMark/>
          </w:tcPr>
          <w:p w14:paraId="7C69974A"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75.000,00</w:t>
            </w:r>
          </w:p>
        </w:tc>
        <w:tc>
          <w:tcPr>
            <w:tcW w:w="1276" w:type="dxa"/>
            <w:vAlign w:val="center"/>
            <w:hideMark/>
          </w:tcPr>
          <w:p w14:paraId="79DDFA66"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val="sr-Cyrl-RS" w:eastAsia="en-US"/>
              </w:rPr>
              <w:t>52.687,09</w:t>
            </w:r>
          </w:p>
        </w:tc>
        <w:tc>
          <w:tcPr>
            <w:tcW w:w="1276" w:type="dxa"/>
            <w:vAlign w:val="center"/>
            <w:hideMark/>
          </w:tcPr>
          <w:p w14:paraId="53DC1975"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0,27%</w:t>
            </w:r>
          </w:p>
        </w:tc>
        <w:tc>
          <w:tcPr>
            <w:tcW w:w="1134" w:type="dxa"/>
            <w:vAlign w:val="center"/>
            <w:hideMark/>
          </w:tcPr>
          <w:p w14:paraId="3DC987D4" w14:textId="77777777" w:rsidR="008E0518" w:rsidRPr="008E0518" w:rsidRDefault="008E0518">
            <w:pPr>
              <w:jc w:val="center"/>
              <w:rPr>
                <w:rFonts w:ascii="Calibri" w:hAnsi="Calibri"/>
                <w:sz w:val="18"/>
                <w:szCs w:val="18"/>
              </w:rPr>
            </w:pPr>
            <w:r w:rsidRPr="008E0518">
              <w:rPr>
                <w:rFonts w:ascii="Calibri" w:hAnsi="Calibri"/>
                <w:sz w:val="18"/>
                <w:szCs w:val="18"/>
              </w:rPr>
              <w:t>0,20%</w:t>
            </w:r>
          </w:p>
        </w:tc>
      </w:tr>
      <w:tr w:rsidR="008E0518" w:rsidRPr="008C27E1" w14:paraId="2444D133" w14:textId="77777777" w:rsidTr="008C27E1">
        <w:trPr>
          <w:trHeight w:val="330"/>
        </w:trPr>
        <w:tc>
          <w:tcPr>
            <w:tcW w:w="2567" w:type="dxa"/>
            <w:shd w:val="clear" w:color="auto" w:fill="8DB3E2" w:themeFill="text2" w:themeFillTint="66"/>
            <w:vAlign w:val="center"/>
            <w:hideMark/>
          </w:tcPr>
          <w:p w14:paraId="1D4A38EA" w14:textId="77777777" w:rsidR="008E0518" w:rsidRPr="008C27E1" w:rsidRDefault="008E0518" w:rsidP="008C27E1">
            <w:pPr>
              <w:jc w:val="center"/>
              <w:rPr>
                <w:rFonts w:asciiTheme="minorHAnsi" w:hAnsiTheme="minorHAnsi"/>
                <w:b/>
                <w:bCs/>
                <w:sz w:val="18"/>
                <w:szCs w:val="18"/>
              </w:rPr>
            </w:pPr>
            <w:r w:rsidRPr="008C27E1">
              <w:rPr>
                <w:rFonts w:asciiTheme="minorHAnsi" w:hAnsiTheme="minorHAnsi"/>
                <w:b/>
                <w:bCs/>
                <w:sz w:val="18"/>
                <w:szCs w:val="18"/>
                <w:lang w:val="sr-Cyrl-BA"/>
              </w:rPr>
              <w:t>УКУПНО</w:t>
            </w:r>
          </w:p>
        </w:tc>
        <w:tc>
          <w:tcPr>
            <w:tcW w:w="992" w:type="dxa"/>
            <w:shd w:val="clear" w:color="auto" w:fill="8DB3E2" w:themeFill="text2" w:themeFillTint="66"/>
            <w:vAlign w:val="center"/>
            <w:hideMark/>
          </w:tcPr>
          <w:p w14:paraId="43763D01" w14:textId="77777777" w:rsidR="008E0518" w:rsidRPr="008C27E1" w:rsidRDefault="008E0518" w:rsidP="008C27E1">
            <w:pPr>
              <w:jc w:val="center"/>
              <w:rPr>
                <w:rFonts w:asciiTheme="minorHAnsi" w:hAnsiTheme="minorHAnsi"/>
                <w:b/>
                <w:bCs/>
                <w:color w:val="auto"/>
                <w:sz w:val="18"/>
                <w:szCs w:val="18"/>
              </w:rPr>
            </w:pPr>
            <w:r w:rsidRPr="008C27E1">
              <w:rPr>
                <w:rFonts w:asciiTheme="minorHAnsi" w:hAnsiTheme="minorHAnsi"/>
                <w:b/>
                <w:bCs/>
                <w:color w:val="auto"/>
                <w:sz w:val="18"/>
                <w:szCs w:val="18"/>
                <w:lang w:val="sr-Cyrl-RS"/>
              </w:rPr>
              <w:t>95</w:t>
            </w:r>
          </w:p>
        </w:tc>
        <w:tc>
          <w:tcPr>
            <w:tcW w:w="1559" w:type="dxa"/>
            <w:shd w:val="clear" w:color="auto" w:fill="8DB3E2" w:themeFill="text2" w:themeFillTint="66"/>
            <w:vAlign w:val="center"/>
            <w:hideMark/>
          </w:tcPr>
          <w:p w14:paraId="2A0F1A98" w14:textId="77777777" w:rsidR="008E0518" w:rsidRPr="008C27E1" w:rsidRDefault="008E0518" w:rsidP="008C27E1">
            <w:pPr>
              <w:jc w:val="center"/>
              <w:rPr>
                <w:rFonts w:asciiTheme="minorHAnsi" w:hAnsiTheme="minorHAnsi"/>
                <w:b/>
                <w:bCs/>
                <w:sz w:val="18"/>
                <w:szCs w:val="18"/>
              </w:rPr>
            </w:pPr>
            <w:r w:rsidRPr="008C27E1">
              <w:rPr>
                <w:rFonts w:asciiTheme="minorHAnsi" w:hAnsiTheme="minorHAnsi"/>
                <w:b/>
                <w:bCs/>
                <w:sz w:val="18"/>
                <w:szCs w:val="18"/>
                <w:lang w:val="sr-Cyrl-RS"/>
              </w:rPr>
              <w:t>28.061.371,04</w:t>
            </w:r>
          </w:p>
        </w:tc>
        <w:tc>
          <w:tcPr>
            <w:tcW w:w="1276" w:type="dxa"/>
            <w:shd w:val="clear" w:color="auto" w:fill="8DB3E2" w:themeFill="text2" w:themeFillTint="66"/>
            <w:vAlign w:val="center"/>
            <w:hideMark/>
          </w:tcPr>
          <w:p w14:paraId="207BFAC9" w14:textId="77777777" w:rsidR="008E0518" w:rsidRPr="008C27E1" w:rsidRDefault="008E0518" w:rsidP="008C27E1">
            <w:pPr>
              <w:ind w:left="-108" w:right="-108"/>
              <w:jc w:val="center"/>
              <w:rPr>
                <w:rFonts w:asciiTheme="minorHAnsi" w:hAnsiTheme="minorHAnsi"/>
                <w:b/>
                <w:bCs/>
                <w:sz w:val="18"/>
                <w:szCs w:val="18"/>
              </w:rPr>
            </w:pPr>
            <w:r w:rsidRPr="008C27E1">
              <w:rPr>
                <w:rFonts w:asciiTheme="minorHAnsi" w:hAnsiTheme="minorHAnsi"/>
                <w:b/>
                <w:bCs/>
                <w:sz w:val="18"/>
                <w:szCs w:val="18"/>
                <w:lang w:val="sr-Latn-RS"/>
              </w:rPr>
              <w:t>19.414.248,21</w:t>
            </w:r>
          </w:p>
        </w:tc>
        <w:tc>
          <w:tcPr>
            <w:tcW w:w="1276" w:type="dxa"/>
            <w:shd w:val="clear" w:color="auto" w:fill="8DB3E2" w:themeFill="text2" w:themeFillTint="66"/>
            <w:vAlign w:val="center"/>
            <w:hideMark/>
          </w:tcPr>
          <w:p w14:paraId="4F50A206" w14:textId="77777777" w:rsidR="008E0518" w:rsidRPr="008C27E1" w:rsidRDefault="008E0518" w:rsidP="008C27E1">
            <w:pPr>
              <w:jc w:val="center"/>
              <w:rPr>
                <w:rFonts w:asciiTheme="minorHAnsi" w:hAnsiTheme="minorHAnsi"/>
                <w:b/>
                <w:bCs/>
                <w:color w:val="auto"/>
                <w:sz w:val="18"/>
                <w:szCs w:val="18"/>
              </w:rPr>
            </w:pPr>
            <w:r w:rsidRPr="008C27E1">
              <w:rPr>
                <w:rFonts w:asciiTheme="minorHAnsi" w:hAnsiTheme="minorHAnsi"/>
                <w:b/>
                <w:bCs/>
                <w:color w:val="auto"/>
                <w:sz w:val="18"/>
                <w:szCs w:val="18"/>
                <w:lang w:val="sr-Cyrl-RS"/>
              </w:rPr>
              <w:t>100%</w:t>
            </w:r>
          </w:p>
        </w:tc>
        <w:tc>
          <w:tcPr>
            <w:tcW w:w="1134" w:type="dxa"/>
            <w:shd w:val="clear" w:color="auto" w:fill="8DB3E2" w:themeFill="text2" w:themeFillTint="66"/>
            <w:vAlign w:val="center"/>
            <w:hideMark/>
          </w:tcPr>
          <w:p w14:paraId="63649213" w14:textId="77777777" w:rsidR="008E0518" w:rsidRPr="008E0518" w:rsidRDefault="008E0518">
            <w:pPr>
              <w:jc w:val="center"/>
              <w:rPr>
                <w:rFonts w:ascii="Calibri" w:hAnsi="Calibri"/>
                <w:b/>
                <w:sz w:val="18"/>
                <w:szCs w:val="18"/>
              </w:rPr>
            </w:pPr>
          </w:p>
        </w:tc>
      </w:tr>
    </w:tbl>
    <w:p w14:paraId="7F1A5363" w14:textId="77777777" w:rsidR="00D44C0D" w:rsidRDefault="00D44C0D" w:rsidP="00D44C0D">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На дан 31.12.202</w:t>
      </w:r>
      <w:r w:rsidR="00C04095">
        <w:rPr>
          <w:rFonts w:asciiTheme="minorHAnsi" w:eastAsiaTheme="minorHAnsi" w:hAnsiTheme="minorHAnsi"/>
          <w:color w:val="auto"/>
          <w:sz w:val="20"/>
          <w:szCs w:val="20"/>
          <w:lang w:val="sr-Cyrl-BA" w:eastAsia="en-US"/>
        </w:rPr>
        <w:t>3</w:t>
      </w:r>
      <w:r w:rsidRPr="005767EF">
        <w:rPr>
          <w:rFonts w:asciiTheme="minorHAnsi" w:eastAsiaTheme="minorHAnsi" w:hAnsiTheme="minorHAnsi"/>
          <w:color w:val="auto"/>
          <w:sz w:val="20"/>
          <w:szCs w:val="20"/>
          <w:lang w:val="sr-Cyrl-BA" w:eastAsia="en-US"/>
        </w:rPr>
        <w:t>. године</w:t>
      </w:r>
      <w:r w:rsidR="0055687E">
        <w:rPr>
          <w:rFonts w:asciiTheme="minorHAnsi" w:eastAsiaTheme="minorHAnsi" w:hAnsiTheme="minorHAnsi"/>
          <w:color w:val="auto"/>
          <w:sz w:val="20"/>
          <w:szCs w:val="20"/>
          <w:lang w:val="sr-Cyrl-BA" w:eastAsia="en-US"/>
        </w:rPr>
        <w:t>, активно је</w:t>
      </w:r>
      <w:r w:rsidRPr="005767EF">
        <w:rPr>
          <w:rFonts w:asciiTheme="minorHAnsi" w:eastAsiaTheme="minorHAnsi" w:hAnsiTheme="minorHAnsi"/>
          <w:color w:val="auto"/>
          <w:sz w:val="20"/>
          <w:szCs w:val="20"/>
          <w:lang w:val="sr-Cyrl-BA" w:eastAsia="en-US"/>
        </w:rPr>
        <w:t xml:space="preserve"> </w:t>
      </w:r>
      <w:r w:rsidR="0055687E">
        <w:rPr>
          <w:rFonts w:asciiTheme="minorHAnsi" w:eastAsiaTheme="minorHAnsi" w:hAnsiTheme="minorHAnsi"/>
          <w:color w:val="auto"/>
          <w:sz w:val="20"/>
          <w:szCs w:val="20"/>
          <w:lang w:val="sr-Cyrl-BA" w:eastAsia="en-US"/>
        </w:rPr>
        <w:t>95 појединачних гаранција одобрених у номиналном износу од 28.061.371,04 КМ</w:t>
      </w:r>
      <w:r w:rsidR="008C27E1">
        <w:rPr>
          <w:rFonts w:asciiTheme="minorHAnsi" w:eastAsiaTheme="minorHAnsi" w:hAnsiTheme="minorHAnsi"/>
          <w:color w:val="auto"/>
          <w:sz w:val="20"/>
          <w:szCs w:val="20"/>
          <w:lang w:val="sr-Cyrl-BA" w:eastAsia="en-US"/>
        </w:rPr>
        <w:t>, чије</w:t>
      </w:r>
      <w:r w:rsidR="0055687E">
        <w:rPr>
          <w:rFonts w:asciiTheme="minorHAnsi" w:eastAsiaTheme="minorHAnsi" w:hAnsiTheme="minorHAnsi"/>
          <w:color w:val="auto"/>
          <w:sz w:val="20"/>
          <w:szCs w:val="20"/>
          <w:lang w:val="sr-Cyrl-BA" w:eastAsia="en-US"/>
        </w:rPr>
        <w:t xml:space="preserve"> стање </w:t>
      </w:r>
      <w:r w:rsidR="008C27E1">
        <w:rPr>
          <w:rFonts w:asciiTheme="minorHAnsi" w:eastAsiaTheme="minorHAnsi" w:hAnsiTheme="minorHAnsi"/>
          <w:color w:val="auto"/>
          <w:sz w:val="20"/>
          <w:szCs w:val="20"/>
          <w:lang w:val="sr-Cyrl-BA" w:eastAsia="en-US"/>
        </w:rPr>
        <w:t xml:space="preserve">износи </w:t>
      </w:r>
      <w:r w:rsidR="0055687E">
        <w:rPr>
          <w:rFonts w:asciiTheme="minorHAnsi" w:eastAsiaTheme="minorHAnsi" w:hAnsiTheme="minorHAnsi"/>
          <w:color w:val="auto"/>
          <w:sz w:val="20"/>
          <w:szCs w:val="20"/>
          <w:lang w:val="sr-Cyrl-BA" w:eastAsia="en-US"/>
        </w:rPr>
        <w:t>19.414.248,21 КМ.</w:t>
      </w:r>
      <w:r w:rsidRPr="005767EF">
        <w:rPr>
          <w:rFonts w:asciiTheme="minorHAnsi" w:eastAsiaTheme="minorHAnsi" w:hAnsiTheme="minorHAnsi"/>
          <w:color w:val="auto"/>
          <w:sz w:val="20"/>
          <w:szCs w:val="20"/>
          <w:lang w:val="sr-Cyrl-BA" w:eastAsia="en-US"/>
        </w:rPr>
        <w:t xml:space="preserve"> </w:t>
      </w:r>
      <w:r w:rsidR="0055687E">
        <w:rPr>
          <w:rFonts w:asciiTheme="minorHAnsi" w:eastAsiaTheme="minorHAnsi" w:hAnsiTheme="minorHAnsi"/>
          <w:color w:val="auto"/>
          <w:sz w:val="20"/>
          <w:szCs w:val="20"/>
          <w:lang w:val="sr-Cyrl-BA" w:eastAsia="en-US"/>
        </w:rPr>
        <w:t>У структури активних гаранција доминирају гаранције издане у корист МФ банке а.д. Бања Лука</w:t>
      </w:r>
      <w:r w:rsidR="008D3DAA">
        <w:rPr>
          <w:rFonts w:asciiTheme="minorHAnsi" w:eastAsiaTheme="minorHAnsi" w:hAnsiTheme="minorHAnsi"/>
          <w:color w:val="auto"/>
          <w:sz w:val="20"/>
          <w:szCs w:val="20"/>
          <w:lang w:val="sr-Cyrl-BA" w:eastAsia="en-US"/>
        </w:rPr>
        <w:t>. Њихово учешће у укупно активним гаранцијама на дан 31.12.2023. године износи 38,11%</w:t>
      </w:r>
      <w:r w:rsidR="00254480">
        <w:rPr>
          <w:rFonts w:asciiTheme="minorHAnsi" w:eastAsiaTheme="minorHAnsi" w:hAnsiTheme="minorHAnsi"/>
          <w:color w:val="auto"/>
          <w:sz w:val="20"/>
          <w:szCs w:val="20"/>
          <w:lang w:val="sr-Cyrl-BA" w:eastAsia="en-US"/>
        </w:rPr>
        <w:t xml:space="preserve"> или 7.399.343,66 КМ у апсолутном износу</w:t>
      </w:r>
      <w:r w:rsidR="008D3DAA">
        <w:rPr>
          <w:rFonts w:asciiTheme="minorHAnsi" w:eastAsiaTheme="minorHAnsi" w:hAnsiTheme="minorHAnsi"/>
          <w:color w:val="auto"/>
          <w:sz w:val="20"/>
          <w:szCs w:val="20"/>
          <w:lang w:val="sr-Cyrl-BA" w:eastAsia="en-US"/>
        </w:rPr>
        <w:t>. На другом мјесту се налази Фонд за развој и запошљавање а.д. Бања Лука, а гаранције издане у његову корист имају учешће од 23,52%</w:t>
      </w:r>
      <w:r w:rsidR="00254480">
        <w:rPr>
          <w:rFonts w:asciiTheme="minorHAnsi" w:eastAsiaTheme="minorHAnsi" w:hAnsiTheme="minorHAnsi"/>
          <w:color w:val="auto"/>
          <w:sz w:val="20"/>
          <w:szCs w:val="20"/>
          <w:lang w:val="sr-Cyrl-BA" w:eastAsia="en-US"/>
        </w:rPr>
        <w:t>, што је 4.565.612,75 КМ у апсолутном износу</w:t>
      </w:r>
      <w:r w:rsidR="008D3DAA">
        <w:rPr>
          <w:rFonts w:asciiTheme="minorHAnsi" w:eastAsiaTheme="minorHAnsi" w:hAnsiTheme="minorHAnsi"/>
          <w:color w:val="auto"/>
          <w:sz w:val="20"/>
          <w:szCs w:val="20"/>
          <w:lang w:val="sr-Cyrl-BA" w:eastAsia="en-US"/>
        </w:rPr>
        <w:t xml:space="preserve">. </w:t>
      </w:r>
      <w:r w:rsidR="008C27E1">
        <w:rPr>
          <w:rFonts w:asciiTheme="minorHAnsi" w:eastAsiaTheme="minorHAnsi" w:hAnsiTheme="minorHAnsi"/>
          <w:color w:val="auto"/>
          <w:sz w:val="20"/>
          <w:szCs w:val="20"/>
          <w:lang w:val="sr-Cyrl-BA" w:eastAsia="en-US"/>
        </w:rPr>
        <w:t>Преостали износ гаранција изданих у корист Нове банке а.д. Бања Лука има учешће од 16,20% и налази се на трећем мјесту.</w:t>
      </w:r>
    </w:p>
    <w:p w14:paraId="2FFDF035" w14:textId="77777777" w:rsidR="008C27E1" w:rsidRDefault="008C27E1" w:rsidP="00D44C0D">
      <w:pPr>
        <w:autoSpaceDE w:val="0"/>
        <w:autoSpaceDN w:val="0"/>
        <w:adjustRightInd w:val="0"/>
        <w:rPr>
          <w:rFonts w:asciiTheme="minorHAnsi" w:eastAsiaTheme="minorHAnsi" w:hAnsiTheme="minorHAnsi"/>
          <w:color w:val="auto"/>
          <w:sz w:val="20"/>
          <w:szCs w:val="20"/>
          <w:lang w:val="sr-Cyrl-BA" w:eastAsia="en-US"/>
        </w:rPr>
      </w:pPr>
    </w:p>
    <w:p w14:paraId="3BF4E2D1" w14:textId="77777777" w:rsidR="008C27E1" w:rsidRPr="005767EF" w:rsidRDefault="00444987" w:rsidP="00D44C0D">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Гаранције</w:t>
      </w:r>
      <w:r w:rsidR="009065AC">
        <w:rPr>
          <w:rFonts w:asciiTheme="minorHAnsi" w:eastAsiaTheme="minorHAnsi" w:hAnsiTheme="minorHAnsi"/>
          <w:color w:val="auto"/>
          <w:sz w:val="20"/>
          <w:szCs w:val="20"/>
          <w:lang w:val="sr-Cyrl-BA" w:eastAsia="en-US"/>
        </w:rPr>
        <w:t xml:space="preserve"> издане</w:t>
      </w:r>
      <w:r w:rsidR="008C27E1">
        <w:rPr>
          <w:rFonts w:asciiTheme="minorHAnsi" w:eastAsiaTheme="minorHAnsi" w:hAnsiTheme="minorHAnsi"/>
          <w:color w:val="auto"/>
          <w:sz w:val="20"/>
          <w:szCs w:val="20"/>
          <w:lang w:val="sr-Cyrl-BA" w:eastAsia="en-US"/>
        </w:rPr>
        <w:t xml:space="preserve"> у корист горе наведена три финансијска п</w:t>
      </w:r>
      <w:r>
        <w:rPr>
          <w:rFonts w:asciiTheme="minorHAnsi" w:eastAsiaTheme="minorHAnsi" w:hAnsiTheme="minorHAnsi"/>
          <w:color w:val="auto"/>
          <w:sz w:val="20"/>
          <w:szCs w:val="20"/>
          <w:lang w:val="sr-Cyrl-BA" w:eastAsia="en-US"/>
        </w:rPr>
        <w:t>осредника чине</w:t>
      </w:r>
      <w:r w:rsidR="008C27E1">
        <w:rPr>
          <w:rFonts w:asciiTheme="minorHAnsi" w:eastAsiaTheme="minorHAnsi" w:hAnsiTheme="minorHAnsi"/>
          <w:color w:val="auto"/>
          <w:sz w:val="20"/>
          <w:szCs w:val="20"/>
          <w:lang w:val="sr-Cyrl-BA" w:eastAsia="en-US"/>
        </w:rPr>
        <w:t xml:space="preserve"> више од три четвртине активног портфолија појединачних гаранција (77,83%). Значајније учешће има и Procredit bank д.д. Сарајево</w:t>
      </w:r>
      <w:r w:rsidR="00335B1E">
        <w:rPr>
          <w:rFonts w:asciiTheme="minorHAnsi" w:eastAsiaTheme="minorHAnsi" w:hAnsiTheme="minorHAnsi"/>
          <w:color w:val="auto"/>
          <w:sz w:val="20"/>
          <w:szCs w:val="20"/>
          <w:lang w:val="sr-Cyrl-BA" w:eastAsia="en-US"/>
        </w:rPr>
        <w:t xml:space="preserve"> (12,41%)</w:t>
      </w:r>
      <w:r w:rsidR="008C27E1">
        <w:rPr>
          <w:rFonts w:asciiTheme="minorHAnsi" w:eastAsiaTheme="minorHAnsi" w:hAnsiTheme="minorHAnsi"/>
          <w:color w:val="auto"/>
          <w:sz w:val="20"/>
          <w:szCs w:val="20"/>
          <w:lang w:val="sr-Cyrl-BA" w:eastAsia="en-US"/>
        </w:rPr>
        <w:t xml:space="preserve">, док осталих </w:t>
      </w:r>
      <w:r w:rsidR="00335B1E">
        <w:rPr>
          <w:rFonts w:asciiTheme="minorHAnsi" w:eastAsiaTheme="minorHAnsi" w:hAnsiTheme="minorHAnsi"/>
          <w:color w:val="auto"/>
          <w:sz w:val="20"/>
          <w:szCs w:val="20"/>
          <w:lang w:val="sr-Cyrl-BA" w:eastAsia="en-US"/>
        </w:rPr>
        <w:t>7 банка има врло ниско учешће које се креће у распону од 0,27% до 3,77% по банци, како је и приказано у табели 8.</w:t>
      </w:r>
    </w:p>
    <w:p w14:paraId="3CAE434B" w14:textId="77777777" w:rsidR="00C04095" w:rsidRDefault="00C04095" w:rsidP="00D44C0D">
      <w:pPr>
        <w:autoSpaceDE w:val="0"/>
        <w:autoSpaceDN w:val="0"/>
        <w:adjustRightInd w:val="0"/>
        <w:rPr>
          <w:rFonts w:asciiTheme="minorHAnsi" w:hAnsiTheme="minorHAnsi"/>
          <w:sz w:val="20"/>
          <w:szCs w:val="20"/>
          <w:lang w:val="sr-Cyrl-BA"/>
        </w:rPr>
      </w:pPr>
    </w:p>
    <w:p w14:paraId="04586626" w14:textId="77777777" w:rsidR="00D44C0D" w:rsidRPr="008E0518" w:rsidRDefault="008E0518" w:rsidP="00245931">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lang w:val="sr-Cyrl-RS"/>
        </w:rPr>
        <w:t xml:space="preserve">Последња колона табеле 8 приказује изложеност према сваком финансијском посреднику по основу појединачних гаранција. Члан 14, став 3 Закона о Гарнантом фонду прописује да укупан износ гарантованих обавеза према финансијском посреднику не може бити већи од 30% гарантног потенцијала Фонда, односно 27.000.000,00 КМ у апсолутном износу. Тренутна изложеност по основу појединачних гаранција је највећа према МФ банци а.д. Бања Лука и износи 27,40%. Изложеност према </w:t>
      </w:r>
      <w:r w:rsidR="00932859">
        <w:rPr>
          <w:rFonts w:asciiTheme="minorHAnsi" w:hAnsiTheme="minorHAnsi" w:cs="Times New Roman"/>
          <w:color w:val="auto"/>
          <w:sz w:val="20"/>
          <w:szCs w:val="20"/>
          <w:lang w:val="sr-Cyrl-RS"/>
        </w:rPr>
        <w:t xml:space="preserve">свим банкама је знатно испод нивоа </w:t>
      </w:r>
      <w:r>
        <w:rPr>
          <w:rFonts w:asciiTheme="minorHAnsi" w:hAnsiTheme="minorHAnsi" w:cs="Times New Roman"/>
          <w:color w:val="auto"/>
          <w:sz w:val="20"/>
          <w:szCs w:val="20"/>
          <w:lang w:val="sr-Cyrl-RS"/>
        </w:rPr>
        <w:t>максималне изложености</w:t>
      </w:r>
      <w:r w:rsidR="00932859">
        <w:rPr>
          <w:rFonts w:asciiTheme="minorHAnsi" w:hAnsiTheme="minorHAnsi" w:cs="Times New Roman"/>
          <w:color w:val="auto"/>
          <w:sz w:val="20"/>
          <w:szCs w:val="20"/>
          <w:lang w:val="sr-Cyrl-RS"/>
        </w:rPr>
        <w:t xml:space="preserve"> коју прописује Закон</w:t>
      </w:r>
      <w:r>
        <w:rPr>
          <w:rFonts w:asciiTheme="minorHAnsi" w:hAnsiTheme="minorHAnsi" w:cs="Times New Roman"/>
          <w:color w:val="auto"/>
          <w:sz w:val="20"/>
          <w:szCs w:val="20"/>
          <w:lang w:val="sr-Cyrl-RS"/>
        </w:rPr>
        <w:t>.</w:t>
      </w:r>
    </w:p>
    <w:p w14:paraId="4E53615F" w14:textId="77777777" w:rsidR="0070222F" w:rsidRPr="005767EF" w:rsidRDefault="0070222F" w:rsidP="001538EF">
      <w:pPr>
        <w:pStyle w:val="Default"/>
        <w:jc w:val="both"/>
        <w:rPr>
          <w:rFonts w:asciiTheme="minorHAnsi" w:hAnsiTheme="minorHAnsi" w:cs="Times New Roman"/>
          <w:color w:val="auto"/>
          <w:sz w:val="20"/>
          <w:szCs w:val="20"/>
        </w:rPr>
      </w:pPr>
    </w:p>
    <w:p w14:paraId="6FCB61BC" w14:textId="77777777" w:rsidR="0070222F" w:rsidRPr="005767EF" w:rsidRDefault="0070222F" w:rsidP="001538EF">
      <w:pPr>
        <w:pStyle w:val="Default"/>
        <w:jc w:val="both"/>
        <w:rPr>
          <w:rFonts w:asciiTheme="minorHAnsi" w:hAnsiTheme="minorHAnsi" w:cs="Times New Roman"/>
          <w:color w:val="auto"/>
          <w:sz w:val="20"/>
          <w:szCs w:val="20"/>
        </w:rPr>
      </w:pPr>
    </w:p>
    <w:p w14:paraId="68715C89" w14:textId="77777777" w:rsidR="001538EF" w:rsidRPr="005767EF" w:rsidRDefault="001538EF" w:rsidP="001538EF">
      <w:pPr>
        <w:pStyle w:val="Default"/>
        <w:jc w:val="both"/>
        <w:rPr>
          <w:rFonts w:asciiTheme="minorHAnsi" w:hAnsiTheme="minorHAnsi" w:cs="Times New Roman"/>
          <w:color w:val="auto"/>
          <w:sz w:val="20"/>
          <w:szCs w:val="20"/>
          <w:lang w:val="sr-Cyrl-BA"/>
        </w:rPr>
      </w:pPr>
    </w:p>
    <w:p w14:paraId="5FF7DBB2" w14:textId="77777777" w:rsidR="001538EF" w:rsidRPr="005767EF" w:rsidRDefault="001538EF" w:rsidP="001538EF">
      <w:pPr>
        <w:pStyle w:val="Default"/>
        <w:jc w:val="both"/>
        <w:rPr>
          <w:rFonts w:asciiTheme="minorHAnsi" w:hAnsiTheme="minorHAnsi" w:cs="Times New Roman"/>
          <w:color w:val="auto"/>
          <w:sz w:val="20"/>
          <w:szCs w:val="20"/>
          <w:lang w:val="sr-Cyrl-BA"/>
        </w:rPr>
      </w:pPr>
    </w:p>
    <w:p w14:paraId="42B41308" w14:textId="77777777" w:rsidR="001538EF" w:rsidRDefault="001538EF" w:rsidP="001538EF">
      <w:pPr>
        <w:pStyle w:val="Default"/>
        <w:jc w:val="both"/>
        <w:rPr>
          <w:rFonts w:asciiTheme="minorHAnsi" w:hAnsiTheme="minorHAnsi" w:cs="Times New Roman"/>
          <w:color w:val="auto"/>
          <w:sz w:val="20"/>
          <w:szCs w:val="20"/>
          <w:lang w:val="sr-Cyrl-BA"/>
        </w:rPr>
      </w:pPr>
    </w:p>
    <w:p w14:paraId="114AEBCE" w14:textId="77777777" w:rsidR="00BE15F9" w:rsidRDefault="00BE15F9" w:rsidP="001538EF">
      <w:pPr>
        <w:pStyle w:val="Default"/>
        <w:jc w:val="both"/>
        <w:rPr>
          <w:rFonts w:asciiTheme="minorHAnsi" w:hAnsiTheme="minorHAnsi" w:cs="Times New Roman"/>
          <w:color w:val="auto"/>
          <w:sz w:val="20"/>
          <w:szCs w:val="20"/>
          <w:lang w:val="sr-Cyrl-BA"/>
        </w:rPr>
      </w:pPr>
    </w:p>
    <w:p w14:paraId="024505C5" w14:textId="77777777" w:rsidR="00BE15F9" w:rsidRDefault="00BE15F9" w:rsidP="001538EF">
      <w:pPr>
        <w:pStyle w:val="Default"/>
        <w:jc w:val="both"/>
        <w:rPr>
          <w:rFonts w:asciiTheme="minorHAnsi" w:hAnsiTheme="minorHAnsi" w:cs="Times New Roman"/>
          <w:color w:val="auto"/>
          <w:sz w:val="20"/>
          <w:szCs w:val="20"/>
          <w:lang w:val="sr-Cyrl-BA"/>
        </w:rPr>
      </w:pPr>
    </w:p>
    <w:p w14:paraId="2CFB186E" w14:textId="77777777" w:rsidR="00BE15F9" w:rsidRDefault="00BE15F9" w:rsidP="001538EF">
      <w:pPr>
        <w:pStyle w:val="Default"/>
        <w:jc w:val="both"/>
        <w:rPr>
          <w:rFonts w:asciiTheme="minorHAnsi" w:hAnsiTheme="minorHAnsi" w:cs="Times New Roman"/>
          <w:color w:val="auto"/>
          <w:sz w:val="20"/>
          <w:szCs w:val="20"/>
          <w:lang w:val="sr-Cyrl-BA"/>
        </w:rPr>
      </w:pPr>
    </w:p>
    <w:p w14:paraId="37E500D7" w14:textId="77777777" w:rsidR="00BE15F9" w:rsidRDefault="00BE15F9" w:rsidP="001538EF">
      <w:pPr>
        <w:pStyle w:val="Default"/>
        <w:jc w:val="both"/>
        <w:rPr>
          <w:rFonts w:asciiTheme="minorHAnsi" w:hAnsiTheme="minorHAnsi" w:cs="Times New Roman"/>
          <w:color w:val="auto"/>
          <w:sz w:val="20"/>
          <w:szCs w:val="20"/>
          <w:lang w:val="sr-Cyrl-BA"/>
        </w:rPr>
      </w:pPr>
    </w:p>
    <w:p w14:paraId="675E1085" w14:textId="77777777" w:rsidR="00BE15F9" w:rsidRDefault="00BE15F9" w:rsidP="001538EF">
      <w:pPr>
        <w:pStyle w:val="Default"/>
        <w:jc w:val="both"/>
        <w:rPr>
          <w:rFonts w:asciiTheme="minorHAnsi" w:hAnsiTheme="minorHAnsi" w:cs="Times New Roman"/>
          <w:color w:val="auto"/>
          <w:sz w:val="20"/>
          <w:szCs w:val="20"/>
          <w:lang w:val="sr-Cyrl-BA"/>
        </w:rPr>
      </w:pPr>
    </w:p>
    <w:p w14:paraId="1EACA50C" w14:textId="77777777" w:rsidR="00BE15F9" w:rsidRDefault="00BE15F9" w:rsidP="001538EF">
      <w:pPr>
        <w:pStyle w:val="Default"/>
        <w:jc w:val="both"/>
        <w:rPr>
          <w:rFonts w:asciiTheme="minorHAnsi" w:hAnsiTheme="minorHAnsi" w:cs="Times New Roman"/>
          <w:color w:val="auto"/>
          <w:sz w:val="20"/>
          <w:szCs w:val="20"/>
          <w:lang w:val="sr-Cyrl-BA"/>
        </w:rPr>
      </w:pPr>
    </w:p>
    <w:p w14:paraId="604471F5" w14:textId="77777777" w:rsidR="00BE15F9" w:rsidRDefault="00BE15F9" w:rsidP="001538EF">
      <w:pPr>
        <w:pStyle w:val="Default"/>
        <w:jc w:val="both"/>
        <w:rPr>
          <w:rFonts w:asciiTheme="minorHAnsi" w:hAnsiTheme="minorHAnsi" w:cs="Times New Roman"/>
          <w:color w:val="auto"/>
          <w:sz w:val="20"/>
          <w:szCs w:val="20"/>
          <w:lang w:val="sr-Cyrl-BA"/>
        </w:rPr>
      </w:pPr>
    </w:p>
    <w:p w14:paraId="3CD4B17A" w14:textId="77777777" w:rsidR="00BE15F9" w:rsidRDefault="00BE15F9" w:rsidP="001538EF">
      <w:pPr>
        <w:pStyle w:val="Default"/>
        <w:jc w:val="both"/>
        <w:rPr>
          <w:rFonts w:asciiTheme="minorHAnsi" w:hAnsiTheme="minorHAnsi" w:cs="Times New Roman"/>
          <w:color w:val="auto"/>
          <w:sz w:val="20"/>
          <w:szCs w:val="20"/>
          <w:lang w:val="sr-Cyrl-BA"/>
        </w:rPr>
      </w:pPr>
    </w:p>
    <w:p w14:paraId="46A95742" w14:textId="77777777" w:rsidR="00BE15F9" w:rsidRDefault="00BE15F9" w:rsidP="001538EF">
      <w:pPr>
        <w:pStyle w:val="Default"/>
        <w:jc w:val="both"/>
        <w:rPr>
          <w:rFonts w:asciiTheme="minorHAnsi" w:hAnsiTheme="minorHAnsi" w:cs="Times New Roman"/>
          <w:color w:val="auto"/>
          <w:sz w:val="20"/>
          <w:szCs w:val="20"/>
          <w:lang w:val="sr-Cyrl-BA"/>
        </w:rPr>
      </w:pPr>
    </w:p>
    <w:p w14:paraId="698552D2" w14:textId="77777777" w:rsidR="00BE15F9" w:rsidRDefault="00BE15F9" w:rsidP="001538EF">
      <w:pPr>
        <w:pStyle w:val="Default"/>
        <w:jc w:val="both"/>
        <w:rPr>
          <w:rFonts w:asciiTheme="minorHAnsi" w:hAnsiTheme="minorHAnsi" w:cs="Times New Roman"/>
          <w:color w:val="auto"/>
          <w:sz w:val="20"/>
          <w:szCs w:val="20"/>
          <w:lang w:val="sr-Cyrl-BA"/>
        </w:rPr>
      </w:pPr>
    </w:p>
    <w:p w14:paraId="3AC725F2" w14:textId="77777777" w:rsidR="00BE15F9" w:rsidRDefault="00BE15F9" w:rsidP="001538EF">
      <w:pPr>
        <w:pStyle w:val="Default"/>
        <w:jc w:val="both"/>
        <w:rPr>
          <w:rFonts w:asciiTheme="minorHAnsi" w:hAnsiTheme="minorHAnsi" w:cs="Times New Roman"/>
          <w:color w:val="auto"/>
          <w:sz w:val="20"/>
          <w:szCs w:val="20"/>
          <w:lang w:val="sr-Cyrl-BA"/>
        </w:rPr>
      </w:pPr>
    </w:p>
    <w:p w14:paraId="05077EB9" w14:textId="77777777" w:rsidR="00BE15F9" w:rsidRDefault="00BE15F9" w:rsidP="001538EF">
      <w:pPr>
        <w:pStyle w:val="Default"/>
        <w:jc w:val="both"/>
        <w:rPr>
          <w:rFonts w:asciiTheme="minorHAnsi" w:hAnsiTheme="minorHAnsi" w:cs="Times New Roman"/>
          <w:color w:val="auto"/>
          <w:sz w:val="20"/>
          <w:szCs w:val="20"/>
          <w:lang w:val="sr-Cyrl-BA"/>
        </w:rPr>
      </w:pPr>
    </w:p>
    <w:p w14:paraId="0B952F77" w14:textId="77777777" w:rsidR="00BE15F9" w:rsidRDefault="00BE15F9" w:rsidP="001538EF">
      <w:pPr>
        <w:pStyle w:val="Default"/>
        <w:jc w:val="both"/>
        <w:rPr>
          <w:rFonts w:asciiTheme="minorHAnsi" w:hAnsiTheme="minorHAnsi" w:cs="Times New Roman"/>
          <w:color w:val="auto"/>
          <w:sz w:val="20"/>
          <w:szCs w:val="20"/>
          <w:lang w:val="sr-Cyrl-BA"/>
        </w:rPr>
      </w:pPr>
    </w:p>
    <w:p w14:paraId="754A9ACE" w14:textId="77777777" w:rsidR="00BE15F9" w:rsidRDefault="00BE15F9" w:rsidP="001538EF">
      <w:pPr>
        <w:pStyle w:val="Default"/>
        <w:jc w:val="both"/>
        <w:rPr>
          <w:rFonts w:asciiTheme="minorHAnsi" w:hAnsiTheme="minorHAnsi" w:cs="Times New Roman"/>
          <w:color w:val="auto"/>
          <w:sz w:val="20"/>
          <w:szCs w:val="20"/>
          <w:lang w:val="sr-Cyrl-BA"/>
        </w:rPr>
      </w:pPr>
    </w:p>
    <w:p w14:paraId="4A21C1FA" w14:textId="77777777" w:rsidR="00BE15F9" w:rsidRDefault="00BE15F9" w:rsidP="001538EF">
      <w:pPr>
        <w:pStyle w:val="Default"/>
        <w:jc w:val="both"/>
        <w:rPr>
          <w:rFonts w:asciiTheme="minorHAnsi" w:hAnsiTheme="minorHAnsi" w:cs="Times New Roman"/>
          <w:color w:val="auto"/>
          <w:sz w:val="20"/>
          <w:szCs w:val="20"/>
          <w:lang w:val="sr-Cyrl-BA"/>
        </w:rPr>
      </w:pPr>
    </w:p>
    <w:p w14:paraId="0C1B7874" w14:textId="77777777" w:rsidR="00BE15F9" w:rsidRDefault="00BE15F9" w:rsidP="001538EF">
      <w:pPr>
        <w:pStyle w:val="Default"/>
        <w:jc w:val="both"/>
        <w:rPr>
          <w:rFonts w:asciiTheme="minorHAnsi" w:hAnsiTheme="minorHAnsi" w:cs="Times New Roman"/>
          <w:color w:val="auto"/>
          <w:sz w:val="20"/>
          <w:szCs w:val="20"/>
          <w:lang w:val="sr-Cyrl-BA"/>
        </w:rPr>
      </w:pPr>
    </w:p>
    <w:p w14:paraId="14E8AB72" w14:textId="77777777" w:rsidR="00BE15F9" w:rsidRDefault="00BE15F9" w:rsidP="001538EF">
      <w:pPr>
        <w:pStyle w:val="Default"/>
        <w:jc w:val="both"/>
        <w:rPr>
          <w:rFonts w:asciiTheme="minorHAnsi" w:hAnsiTheme="minorHAnsi" w:cs="Times New Roman"/>
          <w:color w:val="auto"/>
          <w:sz w:val="20"/>
          <w:szCs w:val="20"/>
          <w:lang w:val="sr-Cyrl-BA"/>
        </w:rPr>
      </w:pPr>
    </w:p>
    <w:p w14:paraId="3D05FBD2" w14:textId="77777777" w:rsidR="00BE15F9" w:rsidRDefault="00BE15F9" w:rsidP="001538EF">
      <w:pPr>
        <w:pStyle w:val="Default"/>
        <w:jc w:val="both"/>
        <w:rPr>
          <w:rFonts w:asciiTheme="minorHAnsi" w:hAnsiTheme="minorHAnsi" w:cs="Times New Roman"/>
          <w:color w:val="auto"/>
          <w:sz w:val="20"/>
          <w:szCs w:val="20"/>
          <w:lang w:val="sr-Cyrl-BA"/>
        </w:rPr>
      </w:pPr>
    </w:p>
    <w:p w14:paraId="299A851A" w14:textId="77777777" w:rsidR="00BE15F9" w:rsidRDefault="00BE15F9" w:rsidP="001538EF">
      <w:pPr>
        <w:pStyle w:val="Default"/>
        <w:jc w:val="both"/>
        <w:rPr>
          <w:rFonts w:asciiTheme="minorHAnsi" w:hAnsiTheme="minorHAnsi" w:cs="Times New Roman"/>
          <w:color w:val="auto"/>
          <w:sz w:val="20"/>
          <w:szCs w:val="20"/>
          <w:lang w:val="sr-Cyrl-BA"/>
        </w:rPr>
      </w:pPr>
    </w:p>
    <w:p w14:paraId="27F0F9CF" w14:textId="77777777" w:rsidR="00BE15F9" w:rsidRDefault="00BE15F9" w:rsidP="001538EF">
      <w:pPr>
        <w:pStyle w:val="Default"/>
        <w:jc w:val="both"/>
        <w:rPr>
          <w:rFonts w:asciiTheme="minorHAnsi" w:hAnsiTheme="minorHAnsi" w:cs="Times New Roman"/>
          <w:color w:val="auto"/>
          <w:sz w:val="20"/>
          <w:szCs w:val="20"/>
          <w:lang w:val="sr-Cyrl-BA"/>
        </w:rPr>
      </w:pPr>
    </w:p>
    <w:p w14:paraId="62AC38FD" w14:textId="77777777" w:rsidR="00BE15F9" w:rsidRDefault="00BE15F9" w:rsidP="001538EF">
      <w:pPr>
        <w:pStyle w:val="Default"/>
        <w:jc w:val="both"/>
        <w:rPr>
          <w:rFonts w:asciiTheme="minorHAnsi" w:hAnsiTheme="minorHAnsi" w:cs="Times New Roman"/>
          <w:color w:val="auto"/>
          <w:sz w:val="20"/>
          <w:szCs w:val="20"/>
          <w:lang w:val="sr-Cyrl-BA"/>
        </w:rPr>
      </w:pPr>
    </w:p>
    <w:p w14:paraId="041323FF" w14:textId="77777777" w:rsidR="00BE15F9" w:rsidRDefault="00BE15F9" w:rsidP="001538EF">
      <w:pPr>
        <w:pStyle w:val="Default"/>
        <w:jc w:val="both"/>
        <w:rPr>
          <w:rFonts w:asciiTheme="minorHAnsi" w:hAnsiTheme="minorHAnsi" w:cs="Times New Roman"/>
          <w:color w:val="auto"/>
          <w:sz w:val="20"/>
          <w:szCs w:val="20"/>
          <w:lang w:val="sr-Cyrl-BA"/>
        </w:rPr>
      </w:pPr>
    </w:p>
    <w:p w14:paraId="6D589832" w14:textId="77777777" w:rsidR="00BE15F9" w:rsidRDefault="00BE15F9" w:rsidP="001538EF">
      <w:pPr>
        <w:pStyle w:val="Default"/>
        <w:jc w:val="both"/>
        <w:rPr>
          <w:rFonts w:asciiTheme="minorHAnsi" w:hAnsiTheme="minorHAnsi" w:cs="Times New Roman"/>
          <w:color w:val="auto"/>
          <w:sz w:val="20"/>
          <w:szCs w:val="20"/>
          <w:lang w:val="sr-Cyrl-BA"/>
        </w:rPr>
      </w:pPr>
    </w:p>
    <w:p w14:paraId="7AD39698" w14:textId="77777777" w:rsidR="00BE15F9" w:rsidRDefault="00BE15F9" w:rsidP="001538EF">
      <w:pPr>
        <w:pStyle w:val="Default"/>
        <w:jc w:val="both"/>
        <w:rPr>
          <w:rFonts w:asciiTheme="minorHAnsi" w:hAnsiTheme="minorHAnsi" w:cs="Times New Roman"/>
          <w:color w:val="auto"/>
          <w:sz w:val="20"/>
          <w:szCs w:val="20"/>
          <w:lang w:val="sr-Cyrl-BA"/>
        </w:rPr>
      </w:pPr>
    </w:p>
    <w:p w14:paraId="22453CBB" w14:textId="77777777" w:rsidR="00BE15F9" w:rsidRDefault="00BE15F9" w:rsidP="001538EF">
      <w:pPr>
        <w:pStyle w:val="Default"/>
        <w:jc w:val="both"/>
        <w:rPr>
          <w:rFonts w:asciiTheme="minorHAnsi" w:hAnsiTheme="minorHAnsi" w:cs="Times New Roman"/>
          <w:color w:val="auto"/>
          <w:sz w:val="20"/>
          <w:szCs w:val="20"/>
          <w:lang w:val="sr-Cyrl-BA"/>
        </w:rPr>
      </w:pPr>
    </w:p>
    <w:p w14:paraId="5537A0FB" w14:textId="77777777" w:rsidR="00BE15F9" w:rsidRDefault="00BE15F9" w:rsidP="001538EF">
      <w:pPr>
        <w:pStyle w:val="Default"/>
        <w:jc w:val="both"/>
        <w:rPr>
          <w:rFonts w:asciiTheme="minorHAnsi" w:hAnsiTheme="minorHAnsi" w:cs="Times New Roman"/>
          <w:color w:val="auto"/>
          <w:sz w:val="20"/>
          <w:szCs w:val="20"/>
          <w:lang w:val="sr-Cyrl-BA"/>
        </w:rPr>
      </w:pPr>
    </w:p>
    <w:p w14:paraId="5227AF39" w14:textId="77777777" w:rsidR="00BE15F9" w:rsidRDefault="00BE15F9" w:rsidP="001538EF">
      <w:pPr>
        <w:pStyle w:val="Default"/>
        <w:jc w:val="both"/>
        <w:rPr>
          <w:rFonts w:asciiTheme="minorHAnsi" w:hAnsiTheme="minorHAnsi" w:cs="Times New Roman"/>
          <w:color w:val="auto"/>
          <w:sz w:val="20"/>
          <w:szCs w:val="20"/>
          <w:lang w:val="sr-Cyrl-BA"/>
        </w:rPr>
      </w:pPr>
    </w:p>
    <w:p w14:paraId="577A0914" w14:textId="77777777" w:rsidR="00BE15F9" w:rsidRDefault="00BE15F9" w:rsidP="001538EF">
      <w:pPr>
        <w:pStyle w:val="Default"/>
        <w:jc w:val="both"/>
        <w:rPr>
          <w:rFonts w:asciiTheme="minorHAnsi" w:hAnsiTheme="minorHAnsi" w:cs="Times New Roman"/>
          <w:color w:val="auto"/>
          <w:sz w:val="20"/>
          <w:szCs w:val="20"/>
          <w:lang w:val="sr-Cyrl-BA"/>
        </w:rPr>
      </w:pPr>
    </w:p>
    <w:p w14:paraId="7FBB2944" w14:textId="77777777" w:rsidR="00BE15F9" w:rsidRDefault="00BE15F9" w:rsidP="001538EF">
      <w:pPr>
        <w:pStyle w:val="Default"/>
        <w:jc w:val="both"/>
        <w:rPr>
          <w:rFonts w:asciiTheme="minorHAnsi" w:hAnsiTheme="minorHAnsi" w:cs="Times New Roman"/>
          <w:color w:val="auto"/>
          <w:sz w:val="20"/>
          <w:szCs w:val="20"/>
          <w:lang w:val="sr-Cyrl-BA"/>
        </w:rPr>
      </w:pPr>
    </w:p>
    <w:p w14:paraId="4A2B1036" w14:textId="77777777" w:rsidR="00BE15F9" w:rsidRDefault="00BE15F9" w:rsidP="001538EF">
      <w:pPr>
        <w:pStyle w:val="Default"/>
        <w:jc w:val="both"/>
        <w:rPr>
          <w:rFonts w:asciiTheme="minorHAnsi" w:hAnsiTheme="minorHAnsi" w:cs="Times New Roman"/>
          <w:color w:val="auto"/>
          <w:sz w:val="20"/>
          <w:szCs w:val="20"/>
          <w:lang w:val="sr-Cyrl-BA"/>
        </w:rPr>
      </w:pPr>
    </w:p>
    <w:p w14:paraId="7119C0DB" w14:textId="77777777" w:rsidR="00BE15F9" w:rsidRDefault="00BE15F9" w:rsidP="001538EF">
      <w:pPr>
        <w:pStyle w:val="Default"/>
        <w:jc w:val="both"/>
        <w:rPr>
          <w:rFonts w:asciiTheme="minorHAnsi" w:hAnsiTheme="minorHAnsi" w:cs="Times New Roman"/>
          <w:color w:val="auto"/>
          <w:sz w:val="20"/>
          <w:szCs w:val="20"/>
          <w:lang w:val="sr-Cyrl-BA"/>
        </w:rPr>
      </w:pPr>
    </w:p>
    <w:p w14:paraId="04087837" w14:textId="77777777" w:rsidR="00BE15F9" w:rsidRDefault="00BE15F9" w:rsidP="001538EF">
      <w:pPr>
        <w:pStyle w:val="Default"/>
        <w:jc w:val="both"/>
        <w:rPr>
          <w:rFonts w:asciiTheme="minorHAnsi" w:hAnsiTheme="minorHAnsi" w:cs="Times New Roman"/>
          <w:color w:val="auto"/>
          <w:sz w:val="20"/>
          <w:szCs w:val="20"/>
          <w:lang w:val="sr-Cyrl-BA"/>
        </w:rPr>
      </w:pPr>
    </w:p>
    <w:p w14:paraId="53F883C3" w14:textId="77777777" w:rsidR="00BE15F9" w:rsidRDefault="00BE15F9" w:rsidP="001538EF">
      <w:pPr>
        <w:pStyle w:val="Default"/>
        <w:jc w:val="both"/>
        <w:rPr>
          <w:rFonts w:asciiTheme="minorHAnsi" w:hAnsiTheme="minorHAnsi" w:cs="Times New Roman"/>
          <w:color w:val="auto"/>
          <w:sz w:val="20"/>
          <w:szCs w:val="20"/>
          <w:lang w:val="sr-Cyrl-BA"/>
        </w:rPr>
      </w:pPr>
    </w:p>
    <w:p w14:paraId="7FE3A900" w14:textId="77777777" w:rsidR="00932859" w:rsidRPr="005767EF" w:rsidRDefault="00932859" w:rsidP="001538EF">
      <w:pPr>
        <w:pStyle w:val="Default"/>
        <w:jc w:val="both"/>
        <w:rPr>
          <w:rFonts w:asciiTheme="minorHAnsi" w:hAnsiTheme="minorHAnsi" w:cs="Times New Roman"/>
          <w:color w:val="auto"/>
          <w:sz w:val="20"/>
          <w:szCs w:val="20"/>
          <w:lang w:val="sr-Cyrl-BA"/>
        </w:rPr>
      </w:pPr>
    </w:p>
    <w:p w14:paraId="5BD76B0C" w14:textId="77777777" w:rsidR="001538EF" w:rsidRPr="00036827" w:rsidRDefault="00E84021" w:rsidP="00E84021">
      <w:pPr>
        <w:pStyle w:val="Heading2"/>
        <w:numPr>
          <w:ilvl w:val="0"/>
          <w:numId w:val="0"/>
        </w:numPr>
        <w:rPr>
          <w:rFonts w:asciiTheme="minorHAnsi" w:hAnsiTheme="minorHAnsi"/>
          <w:b/>
          <w:szCs w:val="20"/>
        </w:rPr>
      </w:pPr>
      <w:bookmarkStart w:id="7" w:name="_Toc135292170"/>
      <w:r>
        <w:rPr>
          <w:rFonts w:asciiTheme="minorHAnsi" w:hAnsiTheme="minorHAnsi"/>
          <w:b/>
          <w:szCs w:val="20"/>
          <w:lang w:val="sr-Cyrl-RS"/>
        </w:rPr>
        <w:t xml:space="preserve">2.2 </w:t>
      </w:r>
      <w:r w:rsidR="001538EF" w:rsidRPr="00A13C00">
        <w:rPr>
          <w:rFonts w:asciiTheme="minorHAnsi" w:hAnsiTheme="minorHAnsi"/>
          <w:b/>
          <w:szCs w:val="20"/>
        </w:rPr>
        <w:t xml:space="preserve">АНАЛИЗА ИЗДАНИХ ГАРАНЦИЈА </w:t>
      </w:r>
      <w:r w:rsidR="003B2F4F" w:rsidRPr="00A13C00">
        <w:rPr>
          <w:rFonts w:asciiTheme="minorHAnsi" w:hAnsiTheme="minorHAnsi"/>
          <w:b/>
          <w:szCs w:val="20"/>
          <w:lang w:val="sr-Cyrl-RS"/>
        </w:rPr>
        <w:t>У ОКВИРУ</w:t>
      </w:r>
      <w:r w:rsidR="001538EF" w:rsidRPr="00A13C00">
        <w:rPr>
          <w:rFonts w:asciiTheme="minorHAnsi" w:hAnsiTheme="minorHAnsi"/>
          <w:b/>
          <w:szCs w:val="20"/>
        </w:rPr>
        <w:t xml:space="preserve"> КРЕДИТ</w:t>
      </w:r>
      <w:r w:rsidR="003B2F4F" w:rsidRPr="00A13C00">
        <w:rPr>
          <w:rFonts w:asciiTheme="minorHAnsi" w:hAnsiTheme="minorHAnsi"/>
          <w:b/>
          <w:szCs w:val="20"/>
          <w:lang w:val="sr-Cyrl-RS"/>
        </w:rPr>
        <w:t>НОГ</w:t>
      </w:r>
      <w:r w:rsidR="001538EF" w:rsidRPr="00A13C00">
        <w:rPr>
          <w:rFonts w:asciiTheme="minorHAnsi" w:hAnsiTheme="minorHAnsi"/>
          <w:b/>
          <w:szCs w:val="20"/>
        </w:rPr>
        <w:t xml:space="preserve"> ПОРТФ</w:t>
      </w:r>
      <w:r w:rsidR="00EE734C">
        <w:rPr>
          <w:rFonts w:asciiTheme="minorHAnsi" w:hAnsiTheme="minorHAnsi"/>
          <w:b/>
          <w:szCs w:val="20"/>
          <w:lang w:val="sr-Cyrl-RS"/>
        </w:rPr>
        <w:t>ОЛИЈ</w:t>
      </w:r>
      <w:r w:rsidR="003B2F4F" w:rsidRPr="00A13C00">
        <w:rPr>
          <w:rFonts w:asciiTheme="minorHAnsi" w:hAnsiTheme="minorHAnsi"/>
          <w:b/>
          <w:szCs w:val="20"/>
          <w:lang w:val="sr-Cyrl-RS"/>
        </w:rPr>
        <w:t>А</w:t>
      </w:r>
      <w:r w:rsidR="001538EF" w:rsidRPr="00A13C00">
        <w:rPr>
          <w:rFonts w:asciiTheme="minorHAnsi" w:hAnsiTheme="minorHAnsi"/>
          <w:b/>
          <w:szCs w:val="20"/>
        </w:rPr>
        <w:t xml:space="preserve"> ФИНАНСИЈСКИХ ПОСРЕДНИКА </w:t>
      </w:r>
      <w:bookmarkEnd w:id="7"/>
    </w:p>
    <w:p w14:paraId="7232838C" w14:textId="77777777" w:rsidR="00036827" w:rsidRPr="00036827" w:rsidRDefault="00036827" w:rsidP="00036827">
      <w:pPr>
        <w:pStyle w:val="Heading2"/>
        <w:numPr>
          <w:ilvl w:val="0"/>
          <w:numId w:val="0"/>
        </w:numPr>
        <w:ind w:left="576"/>
        <w:rPr>
          <w:rFonts w:asciiTheme="minorHAnsi" w:hAnsiTheme="minorHAnsi"/>
          <w:b/>
          <w:szCs w:val="20"/>
        </w:rPr>
      </w:pPr>
    </w:p>
    <w:p w14:paraId="16ED8A0C" w14:textId="77777777" w:rsidR="00A13C00" w:rsidRDefault="003B2F4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О</w:t>
      </w:r>
      <w:r w:rsidR="001538EF" w:rsidRPr="005767EF">
        <w:rPr>
          <w:rFonts w:asciiTheme="minorHAnsi" w:hAnsiTheme="minorHAnsi" w:cs="Times New Roman"/>
          <w:color w:val="auto"/>
          <w:sz w:val="20"/>
          <w:szCs w:val="20"/>
          <w:lang w:val="sr-Cyrl-BA"/>
        </w:rPr>
        <w:t>дредбама члана 2 Закона о измјенама и допунама Закона о Га</w:t>
      </w:r>
      <w:r>
        <w:rPr>
          <w:rFonts w:asciiTheme="minorHAnsi" w:hAnsiTheme="minorHAnsi" w:cs="Times New Roman"/>
          <w:color w:val="auto"/>
          <w:sz w:val="20"/>
          <w:szCs w:val="20"/>
          <w:lang w:val="sr-Cyrl-BA"/>
        </w:rPr>
        <w:t>рантном фонду Републике Српске (</w:t>
      </w:r>
      <w:r w:rsidR="001538EF" w:rsidRPr="005767EF">
        <w:rPr>
          <w:rFonts w:asciiTheme="minorHAnsi" w:hAnsiTheme="minorHAnsi" w:cs="Times New Roman"/>
          <w:color w:val="auto"/>
          <w:sz w:val="20"/>
          <w:szCs w:val="20"/>
          <w:lang w:val="sr-Cyrl-BA"/>
        </w:rPr>
        <w:t>„Службени гласник Републике Српске</w:t>
      </w:r>
      <w:r>
        <w:rPr>
          <w:rFonts w:asciiTheme="minorHAnsi" w:hAnsiTheme="minorHAnsi" w:cs="Times New Roman"/>
          <w:color w:val="auto"/>
          <w:sz w:val="20"/>
          <w:szCs w:val="20"/>
          <w:lang w:val="sr-Cyrl-BA"/>
        </w:rPr>
        <w:t>“ број 107/19</w:t>
      </w:r>
      <w:r w:rsidR="001538EF" w:rsidRPr="005767EF">
        <w:rPr>
          <w:rFonts w:asciiTheme="minorHAnsi" w:hAnsiTheme="minorHAnsi" w:cs="Times New Roman"/>
          <w:color w:val="auto"/>
          <w:sz w:val="20"/>
          <w:szCs w:val="20"/>
          <w:lang w:val="sr-Cyrl-BA"/>
        </w:rPr>
        <w:t xml:space="preserve">)  </w:t>
      </w:r>
      <w:r w:rsidR="001538EF" w:rsidRPr="005767EF">
        <w:rPr>
          <w:rFonts w:asciiTheme="minorHAnsi" w:hAnsiTheme="minorHAnsi" w:cs="Times New Roman"/>
          <w:color w:val="000000" w:themeColor="text1"/>
          <w:sz w:val="20"/>
          <w:szCs w:val="20"/>
          <w:lang w:val="sr-Cyrl-BA"/>
        </w:rPr>
        <w:t>и члана 2 став 3 Правилника о одобравању гаранција (</w:t>
      </w:r>
      <w:r w:rsidR="001538EF" w:rsidRPr="005767EF">
        <w:rPr>
          <w:rFonts w:asciiTheme="minorHAnsi" w:hAnsiTheme="minorHAnsi" w:cs="Times New Roman"/>
          <w:noProof/>
          <w:sz w:val="20"/>
          <w:szCs w:val="20"/>
          <w:lang w:val="sr-Cyrl-RS"/>
        </w:rPr>
        <w:t>„Службени гласник Републике Српске“, број 14</w:t>
      </w:r>
      <w:r w:rsidR="001538EF" w:rsidRPr="005767EF">
        <w:rPr>
          <w:rFonts w:asciiTheme="minorHAnsi" w:hAnsiTheme="minorHAnsi" w:cs="Times New Roman"/>
          <w:noProof/>
          <w:sz w:val="20"/>
          <w:szCs w:val="20"/>
        </w:rPr>
        <w:t>/</w:t>
      </w:r>
      <w:r w:rsidR="001538EF" w:rsidRPr="005767EF">
        <w:rPr>
          <w:rFonts w:asciiTheme="minorHAnsi" w:hAnsiTheme="minorHAnsi" w:cs="Times New Roman"/>
          <w:noProof/>
          <w:sz w:val="20"/>
          <w:szCs w:val="20"/>
          <w:lang w:val="sr-Cyrl-BA"/>
        </w:rPr>
        <w:t>21</w:t>
      </w:r>
      <w:r>
        <w:rPr>
          <w:rFonts w:asciiTheme="minorHAnsi" w:hAnsiTheme="minorHAnsi" w:cs="Times New Roman"/>
          <w:noProof/>
          <w:sz w:val="20"/>
          <w:szCs w:val="20"/>
          <w:lang w:val="sr-Cyrl-RS"/>
        </w:rPr>
        <w:t xml:space="preserve">) </w:t>
      </w:r>
      <w:r w:rsidR="001538EF" w:rsidRPr="005767EF">
        <w:rPr>
          <w:rFonts w:asciiTheme="minorHAnsi" w:hAnsiTheme="minorHAnsi" w:cs="Times New Roman"/>
          <w:noProof/>
          <w:sz w:val="20"/>
          <w:szCs w:val="20"/>
          <w:lang w:val="sr-Cyrl-RS"/>
        </w:rPr>
        <w:t xml:space="preserve">је </w:t>
      </w:r>
      <w:r w:rsidR="001538EF" w:rsidRPr="005767EF">
        <w:rPr>
          <w:rFonts w:asciiTheme="minorHAnsi" w:hAnsiTheme="minorHAnsi" w:cs="Times New Roman"/>
          <w:color w:val="auto"/>
          <w:sz w:val="20"/>
          <w:szCs w:val="20"/>
          <w:lang w:val="sr-Cyrl-BA"/>
        </w:rPr>
        <w:t>дефинисано  да Гарантни фонд</w:t>
      </w:r>
      <w:r w:rsidR="001538EF" w:rsidRPr="005767EF">
        <w:rPr>
          <w:rFonts w:asciiTheme="minorHAnsi" w:hAnsiTheme="minorHAnsi" w:cs="Times New Roman"/>
          <w:color w:val="auto"/>
          <w:sz w:val="20"/>
          <w:szCs w:val="20"/>
        </w:rPr>
        <w:t xml:space="preserve"> може, поред гарантовања конкретне финансијске обавезе п</w:t>
      </w:r>
      <w:r w:rsidR="001538EF" w:rsidRPr="005767EF">
        <w:rPr>
          <w:rFonts w:asciiTheme="minorHAnsi" w:hAnsiTheme="minorHAnsi" w:cs="Times New Roman"/>
          <w:color w:val="auto"/>
          <w:sz w:val="20"/>
          <w:szCs w:val="20"/>
          <w:lang w:val="sr-Cyrl-BA"/>
        </w:rPr>
        <w:t>ре</w:t>
      </w:r>
      <w:r w:rsidR="001538EF" w:rsidRPr="005767EF">
        <w:rPr>
          <w:rFonts w:asciiTheme="minorHAnsi" w:hAnsiTheme="minorHAnsi" w:cs="Times New Roman"/>
          <w:color w:val="auto"/>
          <w:sz w:val="20"/>
          <w:szCs w:val="20"/>
        </w:rPr>
        <w:t>дузетника, издавати гаранције за обезбјеђење дијела обавеза из портфеља кредита, уговорених између предузетника и банке или друге финансијске организације</w:t>
      </w:r>
      <w:r w:rsidR="001538EF" w:rsidRPr="005767EF">
        <w:rPr>
          <w:rFonts w:asciiTheme="minorHAnsi" w:hAnsiTheme="minorHAnsi" w:cs="Times New Roman"/>
          <w:color w:val="auto"/>
          <w:sz w:val="20"/>
          <w:szCs w:val="20"/>
          <w:lang w:val="sr-Cyrl-BA"/>
        </w:rPr>
        <w:t xml:space="preserve"> уз</w:t>
      </w:r>
      <w:r w:rsidR="00C779CA">
        <w:rPr>
          <w:rFonts w:asciiTheme="minorHAnsi" w:hAnsiTheme="minorHAnsi" w:cs="Times New Roman"/>
          <w:color w:val="auto"/>
          <w:sz w:val="20"/>
          <w:szCs w:val="20"/>
          <w:lang w:val="sr-Cyrl-BA"/>
        </w:rPr>
        <w:t xml:space="preserve"> гарантовање  кредитног ризика </w:t>
      </w:r>
      <w:r w:rsidR="00C83A25">
        <w:rPr>
          <w:rFonts w:asciiTheme="minorHAnsi" w:hAnsiTheme="minorHAnsi" w:cs="Times New Roman"/>
          <w:color w:val="auto"/>
          <w:sz w:val="20"/>
          <w:szCs w:val="20"/>
          <w:lang w:val="sr-Cyrl-BA"/>
        </w:rPr>
        <w:t>до 25</w:t>
      </w:r>
      <w:r w:rsidR="001538EF" w:rsidRPr="005767EF">
        <w:rPr>
          <w:rFonts w:asciiTheme="minorHAnsi" w:hAnsiTheme="minorHAnsi" w:cs="Times New Roman"/>
          <w:color w:val="auto"/>
          <w:sz w:val="20"/>
          <w:szCs w:val="20"/>
          <w:lang w:val="sr-Cyrl-BA"/>
        </w:rPr>
        <w:t>% изложености ризику на нивоу портфеља</w:t>
      </w:r>
      <w:r>
        <w:rPr>
          <w:rFonts w:asciiTheme="minorHAnsi" w:hAnsiTheme="minorHAnsi" w:cs="Times New Roman"/>
          <w:color w:val="auto"/>
          <w:sz w:val="20"/>
          <w:szCs w:val="20"/>
          <w:lang w:val="sr-Cyrl-BA"/>
        </w:rPr>
        <w:t xml:space="preserve">. </w:t>
      </w:r>
    </w:p>
    <w:p w14:paraId="31D5AF53" w14:textId="77777777" w:rsidR="00A13C00" w:rsidRDefault="00A13C00" w:rsidP="001538EF">
      <w:pPr>
        <w:pStyle w:val="Default"/>
        <w:jc w:val="both"/>
        <w:rPr>
          <w:rFonts w:asciiTheme="minorHAnsi" w:hAnsiTheme="minorHAnsi" w:cs="Times New Roman"/>
          <w:color w:val="auto"/>
          <w:sz w:val="20"/>
          <w:szCs w:val="20"/>
          <w:lang w:val="sr-Cyrl-BA"/>
        </w:rPr>
      </w:pPr>
    </w:p>
    <w:p w14:paraId="6DB3C922" w14:textId="77777777" w:rsidR="001538EF" w:rsidRDefault="004B13E7"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Гарантни фонд Републике Српске је </w:t>
      </w:r>
      <w:r w:rsidR="00C5563A">
        <w:rPr>
          <w:rFonts w:asciiTheme="minorHAnsi" w:hAnsiTheme="minorHAnsi" w:cs="Times New Roman"/>
          <w:color w:val="auto"/>
          <w:sz w:val="20"/>
          <w:szCs w:val="20"/>
          <w:lang w:val="sr-Cyrl-RS"/>
        </w:rPr>
        <w:t xml:space="preserve">до краја 2023. године </w:t>
      </w:r>
      <w:r>
        <w:rPr>
          <w:rFonts w:asciiTheme="minorHAnsi" w:hAnsiTheme="minorHAnsi" w:cs="Times New Roman"/>
          <w:color w:val="auto"/>
          <w:sz w:val="20"/>
          <w:szCs w:val="20"/>
          <w:lang w:val="sr-Cyrl-BA"/>
        </w:rPr>
        <w:t>пот</w:t>
      </w:r>
      <w:r w:rsidR="00C5563A">
        <w:rPr>
          <w:rFonts w:asciiTheme="minorHAnsi" w:hAnsiTheme="minorHAnsi" w:cs="Times New Roman"/>
          <w:color w:val="auto"/>
          <w:sz w:val="20"/>
          <w:szCs w:val="20"/>
          <w:lang w:val="sr-Cyrl-BA"/>
        </w:rPr>
        <w:t>писа</w:t>
      </w:r>
      <w:r w:rsidR="00C779CA">
        <w:rPr>
          <w:rFonts w:asciiTheme="minorHAnsi" w:hAnsiTheme="minorHAnsi" w:cs="Times New Roman"/>
          <w:color w:val="auto"/>
          <w:sz w:val="20"/>
          <w:szCs w:val="20"/>
          <w:lang w:val="sr-Cyrl-BA"/>
        </w:rPr>
        <w:t>о</w:t>
      </w:r>
      <w:r>
        <w:rPr>
          <w:rFonts w:asciiTheme="minorHAnsi" w:hAnsiTheme="minorHAnsi" w:cs="Times New Roman"/>
          <w:color w:val="auto"/>
          <w:sz w:val="20"/>
          <w:szCs w:val="20"/>
          <w:lang w:val="sr-Cyrl-BA"/>
        </w:rPr>
        <w:t xml:space="preserve"> уговоре о гарантовању </w:t>
      </w:r>
      <w:r w:rsidR="001538EF" w:rsidRPr="005767EF">
        <w:rPr>
          <w:rFonts w:asciiTheme="minorHAnsi" w:hAnsiTheme="minorHAnsi" w:cs="Times New Roman"/>
          <w:color w:val="auto"/>
          <w:sz w:val="20"/>
          <w:szCs w:val="20"/>
          <w:lang w:val="sr-Cyrl-BA"/>
        </w:rPr>
        <w:t>кредитног портф</w:t>
      </w:r>
      <w:r w:rsidR="00254480">
        <w:rPr>
          <w:rFonts w:asciiTheme="minorHAnsi" w:hAnsiTheme="minorHAnsi" w:cs="Times New Roman"/>
          <w:color w:val="auto"/>
          <w:sz w:val="20"/>
          <w:szCs w:val="20"/>
          <w:lang w:val="sr-Cyrl-BA"/>
        </w:rPr>
        <w:t>олија</w:t>
      </w:r>
      <w:r w:rsidR="001538EF" w:rsidRPr="005767EF">
        <w:rPr>
          <w:rFonts w:asciiTheme="minorHAnsi" w:hAnsiTheme="minorHAnsi" w:cs="Times New Roman"/>
          <w:color w:val="auto"/>
          <w:sz w:val="20"/>
          <w:szCs w:val="20"/>
          <w:lang w:val="sr-Cyrl-BA"/>
        </w:rPr>
        <w:t xml:space="preserve"> са</w:t>
      </w:r>
      <w:r>
        <w:rPr>
          <w:rFonts w:asciiTheme="minorHAnsi" w:hAnsiTheme="minorHAnsi" w:cs="Times New Roman"/>
          <w:color w:val="auto"/>
          <w:sz w:val="20"/>
          <w:szCs w:val="20"/>
          <w:lang w:val="sr-Cyrl-BA"/>
        </w:rPr>
        <w:t xml:space="preserve"> 4</w:t>
      </w:r>
      <w:r w:rsidR="001538EF" w:rsidRPr="005767EF">
        <w:rPr>
          <w:rFonts w:asciiTheme="minorHAnsi" w:hAnsiTheme="minorHAnsi" w:cs="Times New Roman"/>
          <w:color w:val="auto"/>
          <w:sz w:val="20"/>
          <w:szCs w:val="20"/>
          <w:lang w:val="sr-Cyrl-BA"/>
        </w:rPr>
        <w:t xml:space="preserve"> финансијск</w:t>
      </w:r>
      <w:r w:rsidR="000704FD">
        <w:rPr>
          <w:rFonts w:asciiTheme="minorHAnsi" w:hAnsiTheme="minorHAnsi" w:cs="Times New Roman"/>
          <w:color w:val="auto"/>
          <w:sz w:val="20"/>
          <w:szCs w:val="20"/>
          <w:lang w:val="sr-Cyrl-BA"/>
        </w:rPr>
        <w:t>а</w:t>
      </w:r>
      <w:r w:rsidR="001538EF" w:rsidRPr="005767EF">
        <w:rPr>
          <w:rFonts w:asciiTheme="minorHAnsi" w:hAnsiTheme="minorHAnsi" w:cs="Times New Roman"/>
          <w:color w:val="auto"/>
          <w:sz w:val="20"/>
          <w:szCs w:val="20"/>
          <w:lang w:val="sr-Cyrl-BA"/>
        </w:rPr>
        <w:t xml:space="preserve"> посредни</w:t>
      </w:r>
      <w:r w:rsidR="00C5563A">
        <w:rPr>
          <w:rFonts w:asciiTheme="minorHAnsi" w:hAnsiTheme="minorHAnsi" w:cs="Times New Roman"/>
          <w:color w:val="auto"/>
          <w:sz w:val="20"/>
          <w:szCs w:val="20"/>
          <w:lang w:val="sr-Cyrl-BA"/>
        </w:rPr>
        <w:t>ка</w:t>
      </w:r>
      <w:r w:rsidR="00C779CA">
        <w:rPr>
          <w:rFonts w:asciiTheme="minorHAnsi" w:hAnsiTheme="minorHAnsi" w:cs="Times New Roman"/>
          <w:color w:val="auto"/>
          <w:sz w:val="20"/>
          <w:szCs w:val="20"/>
          <w:lang w:val="sr-Cyrl-BA"/>
        </w:rPr>
        <w:t xml:space="preserve">: </w:t>
      </w:r>
      <w:r w:rsidR="00C5563A" w:rsidRPr="00C5563A">
        <w:rPr>
          <w:rFonts w:asciiTheme="minorHAnsi" w:hAnsiTheme="minorHAnsi" w:cs="Times New Roman"/>
          <w:color w:val="auto"/>
          <w:sz w:val="20"/>
          <w:szCs w:val="20"/>
          <w:lang w:val="sr-Cyrl-BA"/>
        </w:rPr>
        <w:t>PROCREDIT BANK д.д. Сарајево</w:t>
      </w:r>
      <w:r w:rsidR="00C5563A">
        <w:rPr>
          <w:rFonts w:asciiTheme="minorHAnsi" w:hAnsiTheme="minorHAnsi" w:cs="Times New Roman"/>
          <w:color w:val="auto"/>
          <w:sz w:val="20"/>
          <w:szCs w:val="20"/>
          <w:lang w:val="sr-Cyrl-BA"/>
        </w:rPr>
        <w:t xml:space="preserve">, </w:t>
      </w:r>
      <w:r w:rsidR="00C5563A" w:rsidRPr="00C5563A">
        <w:rPr>
          <w:rFonts w:asciiTheme="minorHAnsi" w:hAnsiTheme="minorHAnsi" w:cs="Times New Roman"/>
          <w:color w:val="auto"/>
          <w:sz w:val="20"/>
          <w:szCs w:val="20"/>
          <w:lang w:val="sr-Cyrl-BA"/>
        </w:rPr>
        <w:t xml:space="preserve">UNICREDIT BANK </w:t>
      </w:r>
      <w:r w:rsidR="00C5563A">
        <w:rPr>
          <w:rFonts w:asciiTheme="minorHAnsi" w:hAnsiTheme="minorHAnsi" w:cs="Times New Roman"/>
          <w:color w:val="auto"/>
          <w:sz w:val="20"/>
          <w:szCs w:val="20"/>
          <w:lang w:val="sr-Cyrl-BA"/>
        </w:rPr>
        <w:t xml:space="preserve">а.д. </w:t>
      </w:r>
      <w:r w:rsidR="00C5563A">
        <w:rPr>
          <w:rFonts w:asciiTheme="minorHAnsi" w:hAnsiTheme="minorHAnsi" w:cs="Times New Roman"/>
          <w:color w:val="auto"/>
          <w:sz w:val="20"/>
          <w:szCs w:val="20"/>
          <w:lang w:val="sr-Cyrl-RS"/>
        </w:rPr>
        <w:t>Б</w:t>
      </w:r>
      <w:r w:rsidR="00C5563A">
        <w:rPr>
          <w:rFonts w:asciiTheme="minorHAnsi" w:hAnsiTheme="minorHAnsi" w:cs="Times New Roman"/>
          <w:color w:val="auto"/>
          <w:sz w:val="20"/>
          <w:szCs w:val="20"/>
          <w:lang w:val="sr-Cyrl-BA"/>
        </w:rPr>
        <w:t>ања Л</w:t>
      </w:r>
      <w:r w:rsidR="00C5563A" w:rsidRPr="00C5563A">
        <w:rPr>
          <w:rFonts w:asciiTheme="minorHAnsi" w:hAnsiTheme="minorHAnsi" w:cs="Times New Roman"/>
          <w:color w:val="auto"/>
          <w:sz w:val="20"/>
          <w:szCs w:val="20"/>
          <w:lang w:val="sr-Cyrl-BA"/>
        </w:rPr>
        <w:t>ука</w:t>
      </w:r>
      <w:r w:rsidR="00C5563A">
        <w:rPr>
          <w:rFonts w:asciiTheme="minorHAnsi" w:hAnsiTheme="minorHAnsi" w:cs="Times New Roman"/>
          <w:color w:val="auto"/>
          <w:sz w:val="20"/>
          <w:szCs w:val="20"/>
          <w:lang w:val="sr-Cyrl-BA"/>
        </w:rPr>
        <w:t xml:space="preserve">, МФ БАНКА а.д. Бања Лука и </w:t>
      </w:r>
      <w:r w:rsidR="00C5563A">
        <w:rPr>
          <w:rFonts w:asciiTheme="minorHAnsi" w:hAnsiTheme="minorHAnsi" w:cs="Times New Roman"/>
          <w:color w:val="auto"/>
          <w:sz w:val="20"/>
          <w:szCs w:val="20"/>
        </w:rPr>
        <w:t xml:space="preserve">SPARKASSE BANK </w:t>
      </w:r>
      <w:r w:rsidR="00C5563A">
        <w:rPr>
          <w:rFonts w:asciiTheme="minorHAnsi" w:hAnsiTheme="minorHAnsi" w:cs="Times New Roman"/>
          <w:color w:val="auto"/>
          <w:sz w:val="20"/>
          <w:szCs w:val="20"/>
          <w:lang w:val="sr-Cyrl-RS"/>
        </w:rPr>
        <w:t>д.д. Босна и Херц</w:t>
      </w:r>
      <w:r w:rsidR="00036827">
        <w:rPr>
          <w:rFonts w:asciiTheme="minorHAnsi" w:hAnsiTheme="minorHAnsi" w:cs="Times New Roman"/>
          <w:color w:val="auto"/>
          <w:sz w:val="20"/>
          <w:szCs w:val="20"/>
          <w:lang w:val="sr-Cyrl-RS"/>
        </w:rPr>
        <w:t>еговина. Са</w:t>
      </w:r>
      <w:r w:rsidR="003B072A">
        <w:rPr>
          <w:rFonts w:asciiTheme="minorHAnsi" w:hAnsiTheme="minorHAnsi" w:cs="Times New Roman"/>
          <w:color w:val="auto"/>
          <w:sz w:val="20"/>
          <w:szCs w:val="20"/>
          <w:lang w:val="sr-Cyrl-RS"/>
        </w:rPr>
        <w:t xml:space="preserve"> </w:t>
      </w:r>
      <w:r w:rsidR="003B072A" w:rsidRPr="003B072A">
        <w:rPr>
          <w:rFonts w:asciiTheme="minorHAnsi" w:hAnsiTheme="minorHAnsi" w:cs="Times New Roman"/>
          <w:color w:val="auto"/>
          <w:sz w:val="20"/>
          <w:szCs w:val="20"/>
          <w:lang w:val="sr-Cyrl-RS"/>
        </w:rPr>
        <w:t>SPARKASSE</w:t>
      </w:r>
      <w:r w:rsidR="003B072A">
        <w:rPr>
          <w:rFonts w:asciiTheme="minorHAnsi" w:hAnsiTheme="minorHAnsi" w:cs="Times New Roman"/>
          <w:color w:val="auto"/>
          <w:sz w:val="20"/>
          <w:szCs w:val="20"/>
          <w:lang w:val="sr-Cyrl-RS"/>
        </w:rPr>
        <w:t xml:space="preserve"> банком потписан само уговор о гарантовању општег кредитног </w:t>
      </w:r>
      <w:r w:rsidR="00673EDF">
        <w:rPr>
          <w:rFonts w:asciiTheme="minorHAnsi" w:hAnsiTheme="minorHAnsi" w:cs="Times New Roman"/>
          <w:color w:val="auto"/>
          <w:sz w:val="20"/>
          <w:szCs w:val="20"/>
          <w:lang w:val="sr-Cyrl-RS"/>
        </w:rPr>
        <w:t xml:space="preserve">портфеља, док је са осталим банкама, поред општег портфеља, потписан и уговор о гарантовању портфеља кредита који се односе на улагања у обновљиве изворе енергије и енергетску ефикасност. </w:t>
      </w:r>
      <w:r w:rsidR="000704FD">
        <w:rPr>
          <w:rFonts w:asciiTheme="minorHAnsi" w:hAnsiTheme="minorHAnsi" w:cs="Times New Roman"/>
          <w:color w:val="auto"/>
          <w:sz w:val="20"/>
          <w:szCs w:val="20"/>
          <w:lang w:val="sr-Cyrl-BA"/>
        </w:rPr>
        <w:t>У</w:t>
      </w:r>
      <w:r w:rsidR="001538EF" w:rsidRPr="005767EF">
        <w:rPr>
          <w:rFonts w:asciiTheme="minorHAnsi" w:hAnsiTheme="minorHAnsi" w:cs="Times New Roman"/>
          <w:color w:val="auto"/>
          <w:sz w:val="20"/>
          <w:szCs w:val="20"/>
          <w:lang w:val="sr-Cyrl-BA"/>
        </w:rPr>
        <w:t xml:space="preserve"> наставку се даје преглед реализованих активности  </w:t>
      </w:r>
      <w:r w:rsidR="000704FD" w:rsidRPr="005767EF">
        <w:rPr>
          <w:rFonts w:asciiTheme="minorHAnsi" w:hAnsiTheme="minorHAnsi" w:cs="Times New Roman"/>
          <w:color w:val="auto"/>
          <w:sz w:val="20"/>
          <w:szCs w:val="20"/>
          <w:lang w:val="sr-Cyrl-BA"/>
        </w:rPr>
        <w:t>у 202</w:t>
      </w:r>
      <w:r w:rsidR="000704FD">
        <w:rPr>
          <w:rFonts w:asciiTheme="minorHAnsi" w:hAnsiTheme="minorHAnsi" w:cs="Times New Roman"/>
          <w:color w:val="auto"/>
          <w:sz w:val="20"/>
          <w:szCs w:val="20"/>
          <w:lang w:val="sr-Cyrl-BA"/>
        </w:rPr>
        <w:t>3</w:t>
      </w:r>
      <w:r w:rsidR="000704FD" w:rsidRPr="005767EF">
        <w:rPr>
          <w:rFonts w:asciiTheme="minorHAnsi" w:hAnsiTheme="minorHAnsi" w:cs="Times New Roman"/>
          <w:color w:val="auto"/>
          <w:sz w:val="20"/>
          <w:szCs w:val="20"/>
          <w:lang w:val="sr-Cyrl-BA"/>
        </w:rPr>
        <w:t xml:space="preserve">. години </w:t>
      </w:r>
      <w:r w:rsidR="001538EF" w:rsidRPr="005767EF">
        <w:rPr>
          <w:rFonts w:asciiTheme="minorHAnsi" w:hAnsiTheme="minorHAnsi" w:cs="Times New Roman"/>
          <w:color w:val="auto"/>
          <w:sz w:val="20"/>
          <w:szCs w:val="20"/>
          <w:lang w:val="sr-Cyrl-BA"/>
        </w:rPr>
        <w:t>по овом основу:</w:t>
      </w:r>
    </w:p>
    <w:p w14:paraId="25381038" w14:textId="77777777" w:rsidR="00036827" w:rsidRPr="00A13C00" w:rsidRDefault="00036827" w:rsidP="001538EF">
      <w:pPr>
        <w:pStyle w:val="Default"/>
        <w:jc w:val="both"/>
        <w:rPr>
          <w:rFonts w:asciiTheme="minorHAnsi" w:hAnsiTheme="minorHAnsi" w:cs="Times New Roman"/>
          <w:color w:val="auto"/>
          <w:sz w:val="20"/>
          <w:szCs w:val="20"/>
          <w:lang w:val="sr-Cyrl-RS"/>
        </w:rPr>
      </w:pPr>
    </w:p>
    <w:p w14:paraId="72D2F95A" w14:textId="77777777" w:rsidR="001538EF" w:rsidRPr="00C779CA" w:rsidRDefault="001538EF" w:rsidP="00C779CA">
      <w:pPr>
        <w:pStyle w:val="Default"/>
        <w:jc w:val="center"/>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Преглед изданих гаранција</w:t>
      </w:r>
      <w:r w:rsidR="000704FD">
        <w:rPr>
          <w:rFonts w:asciiTheme="minorHAnsi" w:hAnsiTheme="minorHAnsi" w:cs="Times New Roman"/>
          <w:b/>
          <w:bCs/>
          <w:sz w:val="20"/>
          <w:szCs w:val="20"/>
          <w:lang w:val="sr-Cyrl-RS" w:eastAsia="sr-Latn-RS"/>
        </w:rPr>
        <w:t xml:space="preserve"> у оквиру кредитног портфеља</w:t>
      </w:r>
      <w:r w:rsidRPr="005767EF">
        <w:rPr>
          <w:rFonts w:asciiTheme="minorHAnsi" w:hAnsiTheme="minorHAnsi" w:cs="Times New Roman"/>
          <w:b/>
          <w:bCs/>
          <w:sz w:val="20"/>
          <w:szCs w:val="20"/>
          <w:lang w:val="sr-Latn-RS" w:eastAsia="sr-Latn-RS"/>
        </w:rPr>
        <w:t xml:space="preserve"> </w:t>
      </w:r>
      <w:r w:rsidR="009342FB">
        <w:rPr>
          <w:rFonts w:asciiTheme="minorHAnsi" w:hAnsiTheme="minorHAnsi" w:cs="Times New Roman"/>
          <w:b/>
          <w:bCs/>
          <w:sz w:val="20"/>
          <w:szCs w:val="20"/>
          <w:lang w:val="sr-Cyrl-RS" w:eastAsia="sr-Latn-RS"/>
        </w:rPr>
        <w:t xml:space="preserve">по финансијским посредницима </w:t>
      </w:r>
      <w:r w:rsidR="000704FD">
        <w:rPr>
          <w:rFonts w:asciiTheme="minorHAnsi" w:hAnsiTheme="minorHAnsi" w:cs="Times New Roman"/>
          <w:b/>
          <w:bCs/>
          <w:sz w:val="20"/>
          <w:szCs w:val="20"/>
          <w:lang w:val="sr-Cyrl-RS" w:eastAsia="sr-Latn-RS"/>
        </w:rPr>
        <w:t>у</w:t>
      </w:r>
      <w:r w:rsidRPr="005767EF">
        <w:rPr>
          <w:rFonts w:asciiTheme="minorHAnsi" w:hAnsiTheme="minorHAnsi" w:cs="Times New Roman"/>
          <w:b/>
          <w:bCs/>
          <w:sz w:val="20"/>
          <w:szCs w:val="20"/>
          <w:lang w:val="sr-Latn-RS" w:eastAsia="sr-Latn-RS"/>
        </w:rPr>
        <w:t xml:space="preserve"> период</w:t>
      </w:r>
      <w:r w:rsidR="000704FD">
        <w:rPr>
          <w:rFonts w:asciiTheme="minorHAnsi" w:hAnsiTheme="minorHAnsi" w:cs="Times New Roman"/>
          <w:b/>
          <w:bCs/>
          <w:sz w:val="20"/>
          <w:szCs w:val="20"/>
          <w:lang w:val="sr-Cyrl-RS" w:eastAsia="sr-Latn-RS"/>
        </w:rPr>
        <w:t>у</w:t>
      </w:r>
      <w:r w:rsidRPr="005767EF">
        <w:rPr>
          <w:rFonts w:asciiTheme="minorHAnsi" w:hAnsiTheme="minorHAnsi" w:cs="Times New Roman"/>
          <w:b/>
          <w:bCs/>
          <w:sz w:val="20"/>
          <w:szCs w:val="20"/>
          <w:lang w:val="sr-Latn-RS" w:eastAsia="sr-Latn-RS"/>
        </w:rPr>
        <w:t xml:space="preserve"> 01.01.202</w:t>
      </w:r>
      <w:r w:rsidR="000704FD">
        <w:rPr>
          <w:rFonts w:asciiTheme="minorHAnsi" w:hAnsiTheme="minorHAnsi" w:cs="Times New Roman"/>
          <w:b/>
          <w:bCs/>
          <w:sz w:val="20"/>
          <w:szCs w:val="20"/>
          <w:lang w:val="sr-Cyrl-RS" w:eastAsia="sr-Latn-RS"/>
        </w:rPr>
        <w:t>3</w:t>
      </w:r>
      <w:r w:rsidRPr="005767EF">
        <w:rPr>
          <w:rFonts w:asciiTheme="minorHAnsi" w:hAnsiTheme="minorHAnsi" w:cs="Times New Roman"/>
          <w:b/>
          <w:bCs/>
          <w:sz w:val="20"/>
          <w:szCs w:val="20"/>
          <w:lang w:val="sr-Latn-RS" w:eastAsia="sr-Latn-RS"/>
        </w:rPr>
        <w:t>. - 31.12.202</w:t>
      </w:r>
      <w:r w:rsidR="000704FD">
        <w:rPr>
          <w:rFonts w:asciiTheme="minorHAnsi" w:hAnsiTheme="minorHAnsi" w:cs="Times New Roman"/>
          <w:b/>
          <w:bCs/>
          <w:sz w:val="20"/>
          <w:szCs w:val="20"/>
          <w:lang w:val="sr-Cyrl-RS" w:eastAsia="sr-Latn-RS"/>
        </w:rPr>
        <w:t>3</w:t>
      </w:r>
      <w:r w:rsidR="00C779CA">
        <w:rPr>
          <w:rFonts w:asciiTheme="minorHAnsi" w:hAnsiTheme="minorHAnsi" w:cs="Times New Roman"/>
          <w:b/>
          <w:bCs/>
          <w:sz w:val="20"/>
          <w:szCs w:val="20"/>
          <w:lang w:val="sr-Latn-RS" w:eastAsia="sr-Latn-RS"/>
        </w:rPr>
        <w:t>. године</w:t>
      </w:r>
    </w:p>
    <w:p w14:paraId="22B4D6B3" w14:textId="77777777" w:rsidR="001538EF" w:rsidRPr="00854960" w:rsidRDefault="001538EF" w:rsidP="00961BDD">
      <w:pPr>
        <w:pStyle w:val="Default"/>
        <w:ind w:left="1416" w:hanging="1416"/>
        <w:jc w:val="both"/>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t xml:space="preserve">        </w:t>
      </w:r>
      <w:r w:rsidR="00961BDD">
        <w:rPr>
          <w:rFonts w:asciiTheme="minorHAnsi" w:hAnsiTheme="minorHAnsi" w:cs="Times New Roman"/>
          <w:b/>
          <w:bCs/>
          <w:sz w:val="20"/>
          <w:szCs w:val="20"/>
          <w:lang w:val="sr-Cyrl-RS" w:eastAsia="sr-Latn-RS"/>
        </w:rPr>
        <w:t xml:space="preserve">                     </w:t>
      </w:r>
      <w:r w:rsidR="00854960">
        <w:rPr>
          <w:rFonts w:asciiTheme="minorHAnsi" w:hAnsiTheme="minorHAnsi" w:cs="Times New Roman"/>
          <w:b/>
          <w:bCs/>
          <w:sz w:val="20"/>
          <w:szCs w:val="20"/>
          <w:lang w:val="sr-Cyrl-RS" w:eastAsia="sr-Latn-RS"/>
        </w:rPr>
        <w:t xml:space="preserve"> </w:t>
      </w:r>
      <w:r w:rsidR="00A944C8">
        <w:rPr>
          <w:rFonts w:asciiTheme="minorHAnsi" w:hAnsiTheme="minorHAnsi" w:cs="Times New Roman"/>
          <w:b/>
          <w:bCs/>
          <w:sz w:val="20"/>
          <w:szCs w:val="20"/>
          <w:lang w:val="sr-Cyrl-RS" w:eastAsia="sr-Latn-RS"/>
        </w:rPr>
        <w:t xml:space="preserve">  </w:t>
      </w:r>
      <w:r w:rsidR="00961BDD">
        <w:rPr>
          <w:rFonts w:asciiTheme="minorHAnsi" w:hAnsiTheme="minorHAnsi" w:cs="Times New Roman"/>
          <w:b/>
          <w:bCs/>
          <w:sz w:val="20"/>
          <w:szCs w:val="20"/>
          <w:lang w:val="sr-Cyrl-RS" w:eastAsia="sr-Latn-RS"/>
        </w:rPr>
        <w:t xml:space="preserve">   </w:t>
      </w:r>
      <w:r w:rsidR="00961BDD">
        <w:rPr>
          <w:rFonts w:asciiTheme="minorHAnsi" w:hAnsiTheme="minorHAnsi" w:cs="Times New Roman"/>
          <w:b/>
          <w:bCs/>
          <w:sz w:val="20"/>
          <w:szCs w:val="20"/>
          <w:lang w:val="sr-Latn-RS" w:eastAsia="sr-Latn-RS"/>
        </w:rPr>
        <w:t>T</w:t>
      </w:r>
      <w:r w:rsidR="00A944C8">
        <w:rPr>
          <w:rFonts w:asciiTheme="minorHAnsi" w:hAnsiTheme="minorHAnsi" w:cs="Times New Roman"/>
          <w:b/>
          <w:bCs/>
          <w:sz w:val="20"/>
          <w:szCs w:val="20"/>
          <w:lang w:val="sr-Cyrl-RS" w:eastAsia="sr-Latn-RS"/>
        </w:rPr>
        <w:t>абела</w:t>
      </w:r>
      <w:r w:rsidR="00961BDD">
        <w:rPr>
          <w:rFonts w:asciiTheme="minorHAnsi" w:hAnsiTheme="minorHAnsi" w:cs="Times New Roman"/>
          <w:b/>
          <w:bCs/>
          <w:sz w:val="20"/>
          <w:szCs w:val="20"/>
          <w:lang w:val="sr-Latn-RS" w:eastAsia="sr-Latn-RS"/>
        </w:rPr>
        <w:t xml:space="preserve"> </w:t>
      </w:r>
      <w:r w:rsidR="00854960">
        <w:rPr>
          <w:rFonts w:asciiTheme="minorHAnsi" w:hAnsiTheme="minorHAnsi" w:cs="Times New Roman"/>
          <w:b/>
          <w:bCs/>
          <w:sz w:val="20"/>
          <w:szCs w:val="20"/>
          <w:lang w:val="sr-Cyrl-RS" w:eastAsia="sr-Latn-RS"/>
        </w:rPr>
        <w:t xml:space="preserve"> 9</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417"/>
        <w:gridCol w:w="851"/>
        <w:gridCol w:w="1275"/>
        <w:gridCol w:w="1276"/>
        <w:gridCol w:w="1276"/>
      </w:tblGrid>
      <w:tr w:rsidR="00961BDD" w:rsidRPr="008307BD" w14:paraId="1994E994" w14:textId="77777777" w:rsidTr="00961BDD">
        <w:trPr>
          <w:trHeight w:val="552"/>
        </w:trPr>
        <w:tc>
          <w:tcPr>
            <w:tcW w:w="1271" w:type="dxa"/>
            <w:shd w:val="clear" w:color="auto" w:fill="548DD4" w:themeFill="text2" w:themeFillTint="99"/>
            <w:vAlign w:val="center"/>
            <w:hideMark/>
          </w:tcPr>
          <w:p w14:paraId="0E9D652D"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val="sr-Cyrl-BA" w:eastAsia="sr-Latn-RS"/>
              </w:rPr>
              <w:t>Финансијски посредник</w:t>
            </w:r>
          </w:p>
        </w:tc>
        <w:tc>
          <w:tcPr>
            <w:tcW w:w="1418" w:type="dxa"/>
            <w:shd w:val="clear" w:color="auto" w:fill="548DD4" w:themeFill="text2" w:themeFillTint="99"/>
          </w:tcPr>
          <w:p w14:paraId="473F2226" w14:textId="77777777" w:rsidR="008307BD" w:rsidRPr="00961BDD" w:rsidRDefault="008307BD" w:rsidP="001538EF">
            <w:pPr>
              <w:jc w:val="center"/>
              <w:rPr>
                <w:rFonts w:asciiTheme="minorHAnsi" w:hAnsiTheme="minorHAnsi"/>
                <w:b/>
                <w:sz w:val="16"/>
                <w:szCs w:val="16"/>
                <w:lang w:val="sr-Cyrl-RS" w:eastAsia="sr-Latn-RS"/>
              </w:rPr>
            </w:pPr>
          </w:p>
          <w:p w14:paraId="5C0DEB7D" w14:textId="77777777" w:rsidR="008307BD" w:rsidRPr="00961BDD" w:rsidRDefault="008307BD" w:rsidP="001538EF">
            <w:pPr>
              <w:jc w:val="center"/>
              <w:rPr>
                <w:rFonts w:asciiTheme="minorHAnsi" w:hAnsiTheme="minorHAnsi"/>
                <w:b/>
                <w:sz w:val="16"/>
                <w:szCs w:val="16"/>
                <w:lang w:val="sr-Cyrl-RS" w:eastAsia="sr-Latn-RS"/>
              </w:rPr>
            </w:pPr>
          </w:p>
          <w:p w14:paraId="1D0FF287" w14:textId="77777777" w:rsidR="008307BD" w:rsidRPr="00961BDD" w:rsidRDefault="008307BD" w:rsidP="001538EF">
            <w:pPr>
              <w:jc w:val="center"/>
              <w:rPr>
                <w:rFonts w:asciiTheme="minorHAnsi" w:hAnsiTheme="minorHAnsi"/>
                <w:b/>
                <w:sz w:val="16"/>
                <w:szCs w:val="16"/>
                <w:lang w:val="sr-Cyrl-RS" w:eastAsia="sr-Latn-RS"/>
              </w:rPr>
            </w:pPr>
            <w:r w:rsidRPr="00961BDD">
              <w:rPr>
                <w:rFonts w:asciiTheme="minorHAnsi" w:hAnsiTheme="minorHAnsi"/>
                <w:b/>
                <w:sz w:val="16"/>
                <w:szCs w:val="16"/>
                <w:lang w:val="sr-Cyrl-RS" w:eastAsia="sr-Latn-RS"/>
              </w:rPr>
              <w:t>Портфељ</w:t>
            </w:r>
          </w:p>
        </w:tc>
        <w:tc>
          <w:tcPr>
            <w:tcW w:w="1417" w:type="dxa"/>
            <w:shd w:val="clear" w:color="auto" w:fill="548DD4" w:themeFill="text2" w:themeFillTint="99"/>
          </w:tcPr>
          <w:p w14:paraId="07D7EFE6" w14:textId="77777777" w:rsidR="008307BD" w:rsidRPr="00961BDD" w:rsidRDefault="008307BD" w:rsidP="001538EF">
            <w:pPr>
              <w:jc w:val="center"/>
              <w:rPr>
                <w:rFonts w:asciiTheme="minorHAnsi" w:hAnsiTheme="minorHAnsi"/>
                <w:b/>
                <w:sz w:val="16"/>
                <w:szCs w:val="16"/>
                <w:lang w:val="sr-Cyrl-RS" w:eastAsia="sr-Latn-RS"/>
              </w:rPr>
            </w:pPr>
          </w:p>
          <w:p w14:paraId="021B0FA5" w14:textId="77777777" w:rsidR="008307BD" w:rsidRPr="00961BDD" w:rsidRDefault="008307BD" w:rsidP="001538EF">
            <w:pPr>
              <w:jc w:val="center"/>
              <w:rPr>
                <w:rFonts w:asciiTheme="minorHAnsi" w:hAnsiTheme="minorHAnsi"/>
                <w:b/>
                <w:sz w:val="16"/>
                <w:szCs w:val="16"/>
                <w:lang w:val="sr-Cyrl-RS" w:eastAsia="sr-Latn-RS"/>
              </w:rPr>
            </w:pPr>
            <w:r w:rsidRPr="00961BDD">
              <w:rPr>
                <w:rFonts w:asciiTheme="minorHAnsi" w:hAnsiTheme="minorHAnsi"/>
                <w:b/>
                <w:sz w:val="16"/>
                <w:szCs w:val="16"/>
                <w:lang w:val="sr-Cyrl-RS" w:eastAsia="sr-Latn-RS"/>
              </w:rPr>
              <w:t>Уговорени обим кредитног портфеља</w:t>
            </w:r>
            <w:r w:rsidR="00C779CA">
              <w:rPr>
                <w:rFonts w:asciiTheme="minorHAnsi" w:hAnsiTheme="minorHAnsi"/>
                <w:b/>
                <w:sz w:val="16"/>
                <w:szCs w:val="16"/>
                <w:lang w:val="sr-Cyrl-RS" w:eastAsia="sr-Latn-RS"/>
              </w:rPr>
              <w:t xml:space="preserve"> ( КМ)</w:t>
            </w:r>
          </w:p>
        </w:tc>
        <w:tc>
          <w:tcPr>
            <w:tcW w:w="851" w:type="dxa"/>
            <w:shd w:val="clear" w:color="auto" w:fill="548DD4" w:themeFill="text2" w:themeFillTint="99"/>
            <w:vAlign w:val="center"/>
          </w:tcPr>
          <w:p w14:paraId="6333CC2F" w14:textId="77777777" w:rsidR="008307BD" w:rsidRPr="00961BDD" w:rsidRDefault="008307BD" w:rsidP="00961BDD">
            <w:pPr>
              <w:ind w:right="-108"/>
              <w:jc w:val="center"/>
              <w:rPr>
                <w:rFonts w:asciiTheme="minorHAnsi" w:hAnsiTheme="minorHAnsi"/>
                <w:b/>
                <w:sz w:val="16"/>
                <w:szCs w:val="16"/>
                <w:lang w:val="sr-Latn-RS" w:eastAsia="sr-Latn-RS"/>
              </w:rPr>
            </w:pPr>
            <w:r w:rsidRPr="00961BDD">
              <w:rPr>
                <w:rFonts w:asciiTheme="minorHAnsi" w:hAnsiTheme="minorHAnsi"/>
                <w:b/>
                <w:sz w:val="16"/>
                <w:szCs w:val="16"/>
                <w:lang w:val="sr-Latn-RS" w:eastAsia="sr-Latn-RS"/>
              </w:rPr>
              <w:t>Број кредита</w:t>
            </w:r>
          </w:p>
        </w:tc>
        <w:tc>
          <w:tcPr>
            <w:tcW w:w="1275" w:type="dxa"/>
            <w:shd w:val="clear" w:color="auto" w:fill="548DD4" w:themeFill="text2" w:themeFillTint="99"/>
            <w:vAlign w:val="center"/>
            <w:hideMark/>
          </w:tcPr>
          <w:p w14:paraId="552D1D76"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val="sr-Latn-RS" w:eastAsia="sr-Latn-RS"/>
              </w:rPr>
              <w:t>Износ кредита</w:t>
            </w:r>
          </w:p>
        </w:tc>
        <w:tc>
          <w:tcPr>
            <w:tcW w:w="1276" w:type="dxa"/>
            <w:shd w:val="clear" w:color="auto" w:fill="548DD4" w:themeFill="text2" w:themeFillTint="99"/>
            <w:vAlign w:val="center"/>
            <w:hideMark/>
          </w:tcPr>
          <w:p w14:paraId="3ED02869"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val="sr-Latn-RS" w:eastAsia="sr-Latn-RS"/>
              </w:rPr>
              <w:t>Износ гаранције</w:t>
            </w:r>
          </w:p>
        </w:tc>
        <w:tc>
          <w:tcPr>
            <w:tcW w:w="1276" w:type="dxa"/>
            <w:shd w:val="clear" w:color="auto" w:fill="548DD4" w:themeFill="text2" w:themeFillTint="99"/>
          </w:tcPr>
          <w:p w14:paraId="52AB173D" w14:textId="77777777" w:rsidR="008307BD" w:rsidRPr="00961BDD" w:rsidRDefault="008307BD" w:rsidP="001538EF">
            <w:pPr>
              <w:jc w:val="center"/>
              <w:rPr>
                <w:rFonts w:asciiTheme="minorHAnsi" w:hAnsiTheme="minorHAnsi"/>
                <w:b/>
                <w:sz w:val="16"/>
                <w:szCs w:val="16"/>
                <w:lang w:val="sr-Cyrl-RS" w:eastAsia="sr-Latn-RS"/>
              </w:rPr>
            </w:pPr>
          </w:p>
          <w:p w14:paraId="08A769DD" w14:textId="77777777" w:rsidR="008307BD" w:rsidRPr="00961BDD" w:rsidRDefault="008307BD" w:rsidP="001163A8">
            <w:pPr>
              <w:jc w:val="center"/>
              <w:rPr>
                <w:rFonts w:asciiTheme="minorHAnsi" w:hAnsiTheme="minorHAnsi"/>
                <w:b/>
                <w:sz w:val="16"/>
                <w:szCs w:val="16"/>
                <w:lang w:val="sr-Cyrl-RS" w:eastAsia="sr-Latn-RS"/>
              </w:rPr>
            </w:pPr>
            <w:r w:rsidRPr="00961BDD">
              <w:rPr>
                <w:rFonts w:asciiTheme="minorHAnsi" w:hAnsiTheme="minorHAnsi"/>
                <w:b/>
                <w:sz w:val="16"/>
                <w:szCs w:val="16"/>
                <w:lang w:val="sr-Cyrl-RS" w:eastAsia="sr-Latn-RS"/>
              </w:rPr>
              <w:t>Учешће у пласираним гаранцијама</w:t>
            </w:r>
          </w:p>
        </w:tc>
      </w:tr>
      <w:tr w:rsidR="00961BDD" w:rsidRPr="008307BD" w14:paraId="056003B9" w14:textId="77777777" w:rsidTr="00961BDD">
        <w:trPr>
          <w:trHeight w:val="219"/>
        </w:trPr>
        <w:tc>
          <w:tcPr>
            <w:tcW w:w="1271" w:type="dxa"/>
            <w:vMerge w:val="restart"/>
            <w:shd w:val="clear" w:color="auto" w:fill="auto"/>
            <w:vAlign w:val="center"/>
            <w:hideMark/>
          </w:tcPr>
          <w:p w14:paraId="00D17F47" w14:textId="77777777" w:rsidR="008307BD" w:rsidRPr="00961BDD" w:rsidRDefault="008307B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val="sr-Latn-RS" w:eastAsia="sr-Latn-RS"/>
              </w:rPr>
              <w:t>Procredit bank д.д. Сарајево</w:t>
            </w:r>
          </w:p>
        </w:tc>
        <w:tc>
          <w:tcPr>
            <w:tcW w:w="1418" w:type="dxa"/>
            <w:vAlign w:val="center"/>
          </w:tcPr>
          <w:p w14:paraId="000C763A"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Општи портфељ</w:t>
            </w:r>
          </w:p>
        </w:tc>
        <w:tc>
          <w:tcPr>
            <w:tcW w:w="1417" w:type="dxa"/>
            <w:vAlign w:val="center"/>
          </w:tcPr>
          <w:p w14:paraId="792041B8"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40.000.000,00</w:t>
            </w:r>
          </w:p>
        </w:tc>
        <w:tc>
          <w:tcPr>
            <w:tcW w:w="851" w:type="dxa"/>
            <w:vAlign w:val="center"/>
          </w:tcPr>
          <w:p w14:paraId="65863374" w14:textId="77777777" w:rsidR="008307BD" w:rsidRPr="00961BDD" w:rsidRDefault="00A522F7" w:rsidP="00961BDD">
            <w:pPr>
              <w:jc w:val="center"/>
              <w:rPr>
                <w:rFonts w:asciiTheme="minorHAnsi" w:hAnsiTheme="minorHAnsi"/>
                <w:sz w:val="16"/>
                <w:szCs w:val="16"/>
                <w:lang w:val="sr-Cyrl-RS" w:eastAsia="sr-Latn-RS"/>
              </w:rPr>
            </w:pPr>
            <w:r>
              <w:rPr>
                <w:rFonts w:asciiTheme="minorHAnsi" w:hAnsiTheme="minorHAnsi"/>
                <w:sz w:val="16"/>
                <w:szCs w:val="16"/>
                <w:lang w:val="sr-Cyrl-RS" w:eastAsia="sr-Latn-RS"/>
              </w:rPr>
              <w:t>85</w:t>
            </w:r>
          </w:p>
        </w:tc>
        <w:tc>
          <w:tcPr>
            <w:tcW w:w="1275" w:type="dxa"/>
            <w:shd w:val="clear" w:color="auto" w:fill="auto"/>
            <w:vAlign w:val="center"/>
            <w:hideMark/>
          </w:tcPr>
          <w:p w14:paraId="6870C36D" w14:textId="77777777" w:rsidR="008307BD" w:rsidRPr="00961BDD" w:rsidRDefault="008307BD" w:rsidP="001538EF">
            <w:pPr>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22.059</w:t>
            </w:r>
            <w:r w:rsidRPr="00961BDD">
              <w:rPr>
                <w:rFonts w:asciiTheme="minorHAnsi" w:hAnsiTheme="minorHAnsi"/>
                <w:sz w:val="16"/>
                <w:szCs w:val="16"/>
                <w:lang w:val="sr-Latn-RS" w:eastAsia="sr-Latn-RS"/>
              </w:rPr>
              <w:t>.000,0</w:t>
            </w:r>
            <w:r w:rsidRPr="00961BDD">
              <w:rPr>
                <w:rFonts w:asciiTheme="minorHAnsi" w:hAnsiTheme="minorHAnsi"/>
                <w:sz w:val="16"/>
                <w:szCs w:val="16"/>
                <w:lang w:val="sr-Cyrl-RS" w:eastAsia="sr-Latn-RS"/>
              </w:rPr>
              <w:t>1</w:t>
            </w:r>
          </w:p>
        </w:tc>
        <w:tc>
          <w:tcPr>
            <w:tcW w:w="1276" w:type="dxa"/>
            <w:shd w:val="clear" w:color="auto" w:fill="auto"/>
            <w:vAlign w:val="center"/>
            <w:hideMark/>
          </w:tcPr>
          <w:p w14:paraId="49062814" w14:textId="77777777" w:rsidR="008307BD" w:rsidRPr="00CC181D" w:rsidRDefault="008307BD" w:rsidP="001163A8">
            <w:pPr>
              <w:jc w:val="right"/>
              <w:rPr>
                <w:rFonts w:asciiTheme="minorHAnsi" w:hAnsiTheme="minorHAnsi"/>
                <w:sz w:val="16"/>
                <w:szCs w:val="16"/>
                <w:lang w:eastAsia="sr-Latn-RS"/>
              </w:rPr>
            </w:pPr>
            <w:r w:rsidRPr="00961BDD">
              <w:rPr>
                <w:rFonts w:asciiTheme="minorHAnsi" w:hAnsiTheme="minorHAnsi"/>
                <w:sz w:val="16"/>
                <w:szCs w:val="16"/>
                <w:lang w:val="sr-Cyrl-RS" w:eastAsia="sr-Latn-RS"/>
              </w:rPr>
              <w:t>11</w:t>
            </w:r>
            <w:r w:rsidRPr="00961BDD">
              <w:rPr>
                <w:rFonts w:asciiTheme="minorHAnsi" w:hAnsiTheme="minorHAnsi"/>
                <w:sz w:val="16"/>
                <w:szCs w:val="16"/>
                <w:lang w:val="sr-Latn-RS" w:eastAsia="sr-Latn-RS"/>
              </w:rPr>
              <w:t>.</w:t>
            </w:r>
            <w:r w:rsidRPr="00961BDD">
              <w:rPr>
                <w:rFonts w:asciiTheme="minorHAnsi" w:hAnsiTheme="minorHAnsi"/>
                <w:sz w:val="16"/>
                <w:szCs w:val="16"/>
                <w:lang w:val="sr-Cyrl-RS" w:eastAsia="sr-Latn-RS"/>
              </w:rPr>
              <w:t>029</w:t>
            </w:r>
            <w:r w:rsidRPr="00961BDD">
              <w:rPr>
                <w:rFonts w:asciiTheme="minorHAnsi" w:hAnsiTheme="minorHAnsi"/>
                <w:sz w:val="16"/>
                <w:szCs w:val="16"/>
                <w:lang w:val="sr-Latn-RS" w:eastAsia="sr-Latn-RS"/>
              </w:rPr>
              <w:t>.</w:t>
            </w:r>
            <w:r w:rsidRPr="00961BDD">
              <w:rPr>
                <w:rFonts w:asciiTheme="minorHAnsi" w:hAnsiTheme="minorHAnsi"/>
                <w:sz w:val="16"/>
                <w:szCs w:val="16"/>
                <w:lang w:val="sr-Cyrl-RS" w:eastAsia="sr-Latn-RS"/>
              </w:rPr>
              <w:t>5</w:t>
            </w:r>
            <w:r w:rsidRPr="00961BDD">
              <w:rPr>
                <w:rFonts w:asciiTheme="minorHAnsi" w:hAnsiTheme="minorHAnsi"/>
                <w:sz w:val="16"/>
                <w:szCs w:val="16"/>
                <w:lang w:val="sr-Latn-RS" w:eastAsia="sr-Latn-RS"/>
              </w:rPr>
              <w:t>00,0</w:t>
            </w:r>
            <w:r w:rsidRPr="00961BDD">
              <w:rPr>
                <w:rFonts w:asciiTheme="minorHAnsi" w:hAnsiTheme="minorHAnsi"/>
                <w:sz w:val="16"/>
                <w:szCs w:val="16"/>
                <w:lang w:val="sr-Cyrl-RS" w:eastAsia="sr-Latn-RS"/>
              </w:rPr>
              <w:t>1</w:t>
            </w:r>
          </w:p>
        </w:tc>
        <w:tc>
          <w:tcPr>
            <w:tcW w:w="1276" w:type="dxa"/>
            <w:vAlign w:val="center"/>
          </w:tcPr>
          <w:p w14:paraId="0C3C6E4C" w14:textId="77777777" w:rsidR="008307BD" w:rsidRPr="00961BDD" w:rsidRDefault="00C779CA" w:rsidP="001163A8">
            <w:pPr>
              <w:jc w:val="center"/>
              <w:rPr>
                <w:rFonts w:asciiTheme="minorHAnsi" w:hAnsiTheme="minorHAnsi"/>
                <w:sz w:val="16"/>
                <w:szCs w:val="16"/>
                <w:lang w:val="sr-Cyrl-RS" w:eastAsia="sr-Latn-RS"/>
              </w:rPr>
            </w:pPr>
            <w:r>
              <w:rPr>
                <w:rFonts w:asciiTheme="minorHAnsi" w:hAnsiTheme="minorHAnsi"/>
                <w:sz w:val="16"/>
                <w:szCs w:val="16"/>
                <w:lang w:val="sr-Cyrl-RS" w:eastAsia="sr-Latn-RS"/>
              </w:rPr>
              <w:t>74,12</w:t>
            </w:r>
            <w:r w:rsidR="008307BD" w:rsidRPr="00961BDD">
              <w:rPr>
                <w:rFonts w:asciiTheme="minorHAnsi" w:hAnsiTheme="minorHAnsi"/>
                <w:sz w:val="16"/>
                <w:szCs w:val="16"/>
                <w:lang w:val="sr-Cyrl-RS" w:eastAsia="sr-Latn-RS"/>
              </w:rPr>
              <w:t>%</w:t>
            </w:r>
          </w:p>
        </w:tc>
      </w:tr>
      <w:tr w:rsidR="00961BDD" w:rsidRPr="008307BD" w14:paraId="2BC77189" w14:textId="77777777" w:rsidTr="00961BDD">
        <w:trPr>
          <w:trHeight w:val="219"/>
        </w:trPr>
        <w:tc>
          <w:tcPr>
            <w:tcW w:w="1271" w:type="dxa"/>
            <w:vMerge/>
            <w:shd w:val="clear" w:color="auto" w:fill="auto"/>
            <w:vAlign w:val="center"/>
          </w:tcPr>
          <w:p w14:paraId="4F7B86D4" w14:textId="77777777" w:rsidR="008307BD" w:rsidRPr="00961BDD" w:rsidRDefault="008307BD" w:rsidP="001538EF">
            <w:pPr>
              <w:jc w:val="left"/>
              <w:rPr>
                <w:rFonts w:asciiTheme="minorHAnsi" w:hAnsiTheme="minorHAnsi"/>
                <w:caps/>
                <w:sz w:val="16"/>
                <w:szCs w:val="16"/>
                <w:lang w:val="sr-Latn-RS" w:eastAsia="sr-Latn-RS"/>
              </w:rPr>
            </w:pPr>
          </w:p>
        </w:tc>
        <w:tc>
          <w:tcPr>
            <w:tcW w:w="1418" w:type="dxa"/>
            <w:vAlign w:val="center"/>
          </w:tcPr>
          <w:p w14:paraId="50F05CD0"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Портфељ за обновљиве изворе енергије</w:t>
            </w:r>
          </w:p>
        </w:tc>
        <w:tc>
          <w:tcPr>
            <w:tcW w:w="1417" w:type="dxa"/>
            <w:vAlign w:val="center"/>
          </w:tcPr>
          <w:p w14:paraId="302583AF"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20.000.000,00</w:t>
            </w:r>
          </w:p>
        </w:tc>
        <w:tc>
          <w:tcPr>
            <w:tcW w:w="851" w:type="dxa"/>
            <w:vAlign w:val="center"/>
          </w:tcPr>
          <w:p w14:paraId="2A39AE89" w14:textId="77777777" w:rsidR="008307BD" w:rsidRPr="00961BDD" w:rsidRDefault="00961BDD" w:rsidP="0066469A">
            <w:pPr>
              <w:jc w:val="center"/>
              <w:rPr>
                <w:rFonts w:asciiTheme="minorHAnsi" w:hAnsiTheme="minorHAnsi"/>
                <w:sz w:val="16"/>
                <w:szCs w:val="16"/>
                <w:lang w:val="sr-Cyrl-RS" w:eastAsia="sr-Latn-RS"/>
              </w:rPr>
            </w:pPr>
            <w:r>
              <w:rPr>
                <w:rFonts w:asciiTheme="minorHAnsi" w:hAnsiTheme="minorHAnsi"/>
                <w:sz w:val="16"/>
                <w:szCs w:val="16"/>
                <w:lang w:val="sr-Cyrl-RS" w:eastAsia="sr-Latn-RS"/>
              </w:rPr>
              <w:t>6</w:t>
            </w:r>
          </w:p>
        </w:tc>
        <w:tc>
          <w:tcPr>
            <w:tcW w:w="1275" w:type="dxa"/>
            <w:shd w:val="clear" w:color="auto" w:fill="auto"/>
            <w:vAlign w:val="center"/>
          </w:tcPr>
          <w:p w14:paraId="01E98F12" w14:textId="77777777" w:rsidR="008307B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3.175.000,02</w:t>
            </w:r>
          </w:p>
        </w:tc>
        <w:tc>
          <w:tcPr>
            <w:tcW w:w="1276" w:type="dxa"/>
            <w:shd w:val="clear" w:color="auto" w:fill="auto"/>
            <w:vAlign w:val="center"/>
          </w:tcPr>
          <w:p w14:paraId="78225C15" w14:textId="77777777" w:rsidR="008307BD" w:rsidRPr="00961BDD" w:rsidRDefault="00A522F7" w:rsidP="001163A8">
            <w:pPr>
              <w:jc w:val="right"/>
              <w:rPr>
                <w:rFonts w:asciiTheme="minorHAnsi" w:hAnsiTheme="minorHAnsi"/>
                <w:sz w:val="16"/>
                <w:szCs w:val="16"/>
                <w:lang w:val="sr-Cyrl-RS" w:eastAsia="sr-Latn-RS"/>
              </w:rPr>
            </w:pPr>
            <w:r>
              <w:rPr>
                <w:rFonts w:asciiTheme="minorHAnsi" w:hAnsiTheme="minorHAnsi"/>
                <w:sz w:val="16"/>
                <w:szCs w:val="16"/>
                <w:lang w:val="sr-Cyrl-RS" w:eastAsia="sr-Latn-RS"/>
              </w:rPr>
              <w:t>1.587.500,01</w:t>
            </w:r>
          </w:p>
        </w:tc>
        <w:tc>
          <w:tcPr>
            <w:tcW w:w="1276" w:type="dxa"/>
            <w:vAlign w:val="center"/>
          </w:tcPr>
          <w:p w14:paraId="59339AD3" w14:textId="77777777" w:rsidR="008307BD" w:rsidRPr="00961BDD" w:rsidRDefault="00A522F7" w:rsidP="001163A8">
            <w:pPr>
              <w:jc w:val="center"/>
              <w:rPr>
                <w:rFonts w:asciiTheme="minorHAnsi" w:hAnsiTheme="minorHAnsi"/>
                <w:sz w:val="16"/>
                <w:szCs w:val="16"/>
                <w:lang w:val="sr-Cyrl-RS" w:eastAsia="sr-Latn-RS"/>
              </w:rPr>
            </w:pPr>
            <w:r>
              <w:rPr>
                <w:rFonts w:asciiTheme="minorHAnsi" w:hAnsiTheme="minorHAnsi"/>
                <w:sz w:val="16"/>
                <w:szCs w:val="16"/>
                <w:lang w:val="sr-Cyrl-RS" w:eastAsia="sr-Latn-RS"/>
              </w:rPr>
              <w:t>10,67%</w:t>
            </w:r>
          </w:p>
        </w:tc>
      </w:tr>
      <w:tr w:rsidR="008307BD" w:rsidRPr="008307BD" w14:paraId="77EA4A83" w14:textId="77777777" w:rsidTr="00961BDD">
        <w:trPr>
          <w:trHeight w:val="219"/>
        </w:trPr>
        <w:tc>
          <w:tcPr>
            <w:tcW w:w="2689" w:type="dxa"/>
            <w:gridSpan w:val="2"/>
            <w:shd w:val="clear" w:color="auto" w:fill="C6D9F1" w:themeFill="text2" w:themeFillTint="33"/>
            <w:vAlign w:val="center"/>
          </w:tcPr>
          <w:p w14:paraId="1D5B694B"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УКУПНО</w:t>
            </w:r>
            <w:r w:rsidR="00585AD3">
              <w:rPr>
                <w:rFonts w:asciiTheme="minorHAnsi" w:hAnsiTheme="minorHAnsi"/>
                <w:b/>
                <w:sz w:val="16"/>
                <w:szCs w:val="16"/>
                <w:lang w:val="sr-Cyrl-RS" w:eastAsia="sr-Latn-RS"/>
              </w:rPr>
              <w:t xml:space="preserve"> </w:t>
            </w:r>
          </w:p>
        </w:tc>
        <w:tc>
          <w:tcPr>
            <w:tcW w:w="1417" w:type="dxa"/>
            <w:shd w:val="clear" w:color="auto" w:fill="C6D9F1" w:themeFill="text2" w:themeFillTint="33"/>
            <w:vAlign w:val="center"/>
          </w:tcPr>
          <w:p w14:paraId="56E31186"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60.000.000,00</w:t>
            </w:r>
          </w:p>
        </w:tc>
        <w:tc>
          <w:tcPr>
            <w:tcW w:w="851" w:type="dxa"/>
            <w:shd w:val="clear" w:color="auto" w:fill="C6D9F1" w:themeFill="text2" w:themeFillTint="33"/>
            <w:vAlign w:val="center"/>
          </w:tcPr>
          <w:p w14:paraId="6024331F" w14:textId="77777777" w:rsidR="008307BD" w:rsidRPr="00A522F7" w:rsidRDefault="00A522F7" w:rsidP="0066469A">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91</w:t>
            </w:r>
          </w:p>
        </w:tc>
        <w:tc>
          <w:tcPr>
            <w:tcW w:w="1275" w:type="dxa"/>
            <w:shd w:val="clear" w:color="auto" w:fill="C6D9F1" w:themeFill="text2" w:themeFillTint="33"/>
            <w:vAlign w:val="center"/>
          </w:tcPr>
          <w:p w14:paraId="67CA0640" w14:textId="77777777" w:rsidR="008307BD" w:rsidRPr="00A522F7" w:rsidRDefault="00A522F7" w:rsidP="001538EF">
            <w:pPr>
              <w:jc w:val="right"/>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25.234.000,03</w:t>
            </w:r>
          </w:p>
        </w:tc>
        <w:tc>
          <w:tcPr>
            <w:tcW w:w="1276" w:type="dxa"/>
            <w:shd w:val="clear" w:color="auto" w:fill="C6D9F1" w:themeFill="text2" w:themeFillTint="33"/>
            <w:vAlign w:val="center"/>
          </w:tcPr>
          <w:p w14:paraId="4C5EA4DC" w14:textId="77777777" w:rsidR="008307BD" w:rsidRPr="00CC181D" w:rsidRDefault="00A522F7" w:rsidP="001538EF">
            <w:pPr>
              <w:jc w:val="right"/>
              <w:rPr>
                <w:rFonts w:asciiTheme="minorHAnsi" w:hAnsiTheme="minorHAnsi"/>
                <w:b/>
                <w:sz w:val="16"/>
                <w:szCs w:val="16"/>
                <w:lang w:eastAsia="sr-Latn-RS"/>
              </w:rPr>
            </w:pPr>
            <w:r>
              <w:rPr>
                <w:rFonts w:asciiTheme="minorHAnsi" w:hAnsiTheme="minorHAnsi"/>
                <w:b/>
                <w:sz w:val="16"/>
                <w:szCs w:val="16"/>
                <w:lang w:val="sr-Cyrl-RS" w:eastAsia="sr-Latn-RS"/>
              </w:rPr>
              <w:t>12.617.000,02</w:t>
            </w:r>
          </w:p>
        </w:tc>
        <w:tc>
          <w:tcPr>
            <w:tcW w:w="1276" w:type="dxa"/>
            <w:shd w:val="clear" w:color="auto" w:fill="C6D9F1" w:themeFill="text2" w:themeFillTint="33"/>
            <w:vAlign w:val="center"/>
          </w:tcPr>
          <w:p w14:paraId="65E75D11" w14:textId="77777777" w:rsidR="008307BD" w:rsidRPr="00A522F7" w:rsidRDefault="00A522F7" w:rsidP="001163A8">
            <w:pPr>
              <w:jc w:val="center"/>
              <w:rPr>
                <w:rFonts w:asciiTheme="minorHAnsi" w:hAnsiTheme="minorHAnsi"/>
                <w:b/>
                <w:sz w:val="16"/>
                <w:szCs w:val="16"/>
                <w:lang w:val="sr-Cyrl-RS" w:eastAsia="sr-Latn-RS"/>
              </w:rPr>
            </w:pPr>
            <w:r>
              <w:rPr>
                <w:rFonts w:asciiTheme="minorHAnsi" w:hAnsiTheme="minorHAnsi"/>
                <w:b/>
                <w:sz w:val="16"/>
                <w:szCs w:val="16"/>
                <w:lang w:val="sr-Cyrl-RS" w:eastAsia="sr-Latn-RS"/>
              </w:rPr>
              <w:t>84,79%</w:t>
            </w:r>
          </w:p>
        </w:tc>
      </w:tr>
      <w:tr w:rsidR="00961BDD" w:rsidRPr="008307BD" w14:paraId="635092B1" w14:textId="77777777" w:rsidTr="00961BDD">
        <w:trPr>
          <w:trHeight w:val="219"/>
        </w:trPr>
        <w:tc>
          <w:tcPr>
            <w:tcW w:w="1271" w:type="dxa"/>
            <w:vMerge w:val="restart"/>
            <w:shd w:val="clear" w:color="auto" w:fill="auto"/>
            <w:vAlign w:val="center"/>
            <w:hideMark/>
          </w:tcPr>
          <w:p w14:paraId="72396EA9" w14:textId="77777777" w:rsidR="00961BDD" w:rsidRPr="00961BDD" w:rsidRDefault="00961BD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val="sr-Latn-RS" w:eastAsia="sr-Latn-RS"/>
              </w:rPr>
              <w:t>Unicredit bank а.д. Бања Лука</w:t>
            </w:r>
          </w:p>
        </w:tc>
        <w:tc>
          <w:tcPr>
            <w:tcW w:w="1418" w:type="dxa"/>
            <w:vAlign w:val="center"/>
          </w:tcPr>
          <w:p w14:paraId="205738F7" w14:textId="77777777" w:rsidR="00961BDD" w:rsidRPr="00961BDD" w:rsidRDefault="00961BDD" w:rsidP="008307BD">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Општи портфељ</w:t>
            </w:r>
          </w:p>
        </w:tc>
        <w:tc>
          <w:tcPr>
            <w:tcW w:w="1417" w:type="dxa"/>
            <w:vAlign w:val="center"/>
          </w:tcPr>
          <w:p w14:paraId="4D31210A"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30.000.000,00</w:t>
            </w:r>
          </w:p>
        </w:tc>
        <w:tc>
          <w:tcPr>
            <w:tcW w:w="851" w:type="dxa"/>
            <w:vAlign w:val="center"/>
          </w:tcPr>
          <w:p w14:paraId="70CD5725"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val="sr-Cyrl-RS" w:eastAsia="sr-Latn-RS"/>
              </w:rPr>
              <w:t>13</w:t>
            </w:r>
          </w:p>
        </w:tc>
        <w:tc>
          <w:tcPr>
            <w:tcW w:w="1275" w:type="dxa"/>
            <w:shd w:val="clear" w:color="auto" w:fill="auto"/>
            <w:vAlign w:val="center"/>
            <w:hideMark/>
          </w:tcPr>
          <w:p w14:paraId="10951078"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val="sr-Cyrl-RS" w:eastAsia="sr-Latn-RS"/>
              </w:rPr>
              <w:t>2.383</w:t>
            </w:r>
            <w:r w:rsidRPr="00961BDD">
              <w:rPr>
                <w:rFonts w:asciiTheme="minorHAnsi" w:hAnsiTheme="minorHAnsi"/>
                <w:sz w:val="16"/>
                <w:szCs w:val="16"/>
                <w:lang w:val="sr-Latn-RS" w:eastAsia="sr-Latn-RS"/>
              </w:rPr>
              <w:t>.</w:t>
            </w:r>
            <w:r w:rsidRPr="00961BDD">
              <w:rPr>
                <w:rFonts w:asciiTheme="minorHAnsi" w:hAnsiTheme="minorHAnsi"/>
                <w:sz w:val="16"/>
                <w:szCs w:val="16"/>
                <w:lang w:val="sr-Cyrl-RS" w:eastAsia="sr-Latn-RS"/>
              </w:rPr>
              <w:t>0</w:t>
            </w:r>
            <w:r w:rsidRPr="00961BDD">
              <w:rPr>
                <w:rFonts w:asciiTheme="minorHAnsi" w:hAnsiTheme="minorHAnsi"/>
                <w:sz w:val="16"/>
                <w:szCs w:val="16"/>
                <w:lang w:val="sr-Latn-RS" w:eastAsia="sr-Latn-RS"/>
              </w:rPr>
              <w:t>00,00</w:t>
            </w:r>
          </w:p>
        </w:tc>
        <w:tc>
          <w:tcPr>
            <w:tcW w:w="1276" w:type="dxa"/>
            <w:shd w:val="clear" w:color="auto" w:fill="auto"/>
            <w:vAlign w:val="center"/>
            <w:hideMark/>
          </w:tcPr>
          <w:p w14:paraId="41A57FF8"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val="sr-Cyrl-RS" w:eastAsia="sr-Latn-RS"/>
              </w:rPr>
              <w:t>1.191.500</w:t>
            </w:r>
            <w:r w:rsidRPr="00961BDD">
              <w:rPr>
                <w:rFonts w:asciiTheme="minorHAnsi" w:hAnsiTheme="minorHAnsi"/>
                <w:sz w:val="16"/>
                <w:szCs w:val="16"/>
                <w:lang w:val="sr-Latn-RS" w:eastAsia="sr-Latn-RS"/>
              </w:rPr>
              <w:t>,00</w:t>
            </w:r>
          </w:p>
        </w:tc>
        <w:tc>
          <w:tcPr>
            <w:tcW w:w="1276" w:type="dxa"/>
            <w:vAlign w:val="center"/>
          </w:tcPr>
          <w:p w14:paraId="052B25AA" w14:textId="77777777" w:rsidR="00961BDD" w:rsidRPr="00961BDD" w:rsidRDefault="00961BDD" w:rsidP="001163A8">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8,96%</w:t>
            </w:r>
          </w:p>
        </w:tc>
      </w:tr>
      <w:tr w:rsidR="00961BDD" w:rsidRPr="008307BD" w14:paraId="46ABA7BA" w14:textId="77777777" w:rsidTr="00961BDD">
        <w:trPr>
          <w:trHeight w:val="219"/>
        </w:trPr>
        <w:tc>
          <w:tcPr>
            <w:tcW w:w="1271" w:type="dxa"/>
            <w:vMerge/>
            <w:shd w:val="clear" w:color="auto" w:fill="auto"/>
            <w:vAlign w:val="center"/>
          </w:tcPr>
          <w:p w14:paraId="25188963" w14:textId="77777777" w:rsidR="00961BDD" w:rsidRPr="00961BDD" w:rsidRDefault="00961BDD" w:rsidP="001538EF">
            <w:pPr>
              <w:jc w:val="left"/>
              <w:rPr>
                <w:rFonts w:asciiTheme="minorHAnsi" w:hAnsiTheme="minorHAnsi"/>
                <w:caps/>
                <w:sz w:val="16"/>
                <w:szCs w:val="16"/>
                <w:lang w:val="sr-Latn-RS" w:eastAsia="sr-Latn-RS"/>
              </w:rPr>
            </w:pPr>
          </w:p>
        </w:tc>
        <w:tc>
          <w:tcPr>
            <w:tcW w:w="1418" w:type="dxa"/>
            <w:vAlign w:val="center"/>
          </w:tcPr>
          <w:p w14:paraId="395B62D2" w14:textId="77777777" w:rsidR="00961BDD" w:rsidRPr="00961BDD" w:rsidRDefault="00961BDD" w:rsidP="00C779CA">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 xml:space="preserve">Портфељ за </w:t>
            </w:r>
            <w:r w:rsidR="00C779CA">
              <w:rPr>
                <w:rFonts w:asciiTheme="minorHAnsi" w:hAnsiTheme="minorHAnsi"/>
                <w:sz w:val="16"/>
                <w:szCs w:val="16"/>
                <w:lang w:val="sr-Cyrl-RS" w:eastAsia="sr-Latn-RS"/>
              </w:rPr>
              <w:t>ОИЕ</w:t>
            </w:r>
          </w:p>
        </w:tc>
        <w:tc>
          <w:tcPr>
            <w:tcW w:w="1417" w:type="dxa"/>
            <w:vAlign w:val="center"/>
          </w:tcPr>
          <w:p w14:paraId="01EAF38D"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20.000.000,00</w:t>
            </w:r>
          </w:p>
        </w:tc>
        <w:tc>
          <w:tcPr>
            <w:tcW w:w="851" w:type="dxa"/>
            <w:vAlign w:val="center"/>
          </w:tcPr>
          <w:p w14:paraId="2D8E12DC"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val="sr-Cyrl-RS" w:eastAsia="sr-Latn-RS"/>
              </w:rPr>
              <w:t>0</w:t>
            </w:r>
          </w:p>
        </w:tc>
        <w:tc>
          <w:tcPr>
            <w:tcW w:w="1275" w:type="dxa"/>
            <w:shd w:val="clear" w:color="auto" w:fill="auto"/>
            <w:vAlign w:val="center"/>
          </w:tcPr>
          <w:p w14:paraId="3E7642F6"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w:t>
            </w:r>
          </w:p>
        </w:tc>
        <w:tc>
          <w:tcPr>
            <w:tcW w:w="1276" w:type="dxa"/>
            <w:shd w:val="clear" w:color="auto" w:fill="auto"/>
            <w:vAlign w:val="center"/>
          </w:tcPr>
          <w:p w14:paraId="59F3BB52"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w:t>
            </w:r>
          </w:p>
        </w:tc>
        <w:tc>
          <w:tcPr>
            <w:tcW w:w="1276" w:type="dxa"/>
            <w:vAlign w:val="center"/>
          </w:tcPr>
          <w:p w14:paraId="76661E77" w14:textId="77777777" w:rsidR="00961BDD" w:rsidRPr="00961BDD" w:rsidRDefault="00961BDD" w:rsidP="001163A8">
            <w:pPr>
              <w:jc w:val="center"/>
              <w:rPr>
                <w:rFonts w:asciiTheme="minorHAnsi" w:hAnsiTheme="minorHAnsi"/>
                <w:sz w:val="16"/>
                <w:szCs w:val="16"/>
                <w:lang w:val="sr-Cyrl-RS" w:eastAsia="sr-Latn-RS"/>
              </w:rPr>
            </w:pPr>
          </w:p>
        </w:tc>
      </w:tr>
      <w:tr w:rsidR="008307BD" w:rsidRPr="008307BD" w14:paraId="064327BD" w14:textId="77777777" w:rsidTr="00961BDD">
        <w:trPr>
          <w:trHeight w:val="219"/>
        </w:trPr>
        <w:tc>
          <w:tcPr>
            <w:tcW w:w="2689" w:type="dxa"/>
            <w:gridSpan w:val="2"/>
            <w:shd w:val="clear" w:color="auto" w:fill="C6D9F1" w:themeFill="text2" w:themeFillTint="33"/>
            <w:vAlign w:val="center"/>
          </w:tcPr>
          <w:p w14:paraId="424E6502"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УКУПНО</w:t>
            </w:r>
          </w:p>
        </w:tc>
        <w:tc>
          <w:tcPr>
            <w:tcW w:w="1417" w:type="dxa"/>
            <w:shd w:val="clear" w:color="auto" w:fill="C6D9F1" w:themeFill="text2" w:themeFillTint="33"/>
            <w:vAlign w:val="center"/>
          </w:tcPr>
          <w:p w14:paraId="5485E0C8"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50.000.000,00</w:t>
            </w:r>
          </w:p>
        </w:tc>
        <w:tc>
          <w:tcPr>
            <w:tcW w:w="851" w:type="dxa"/>
            <w:shd w:val="clear" w:color="auto" w:fill="C6D9F1" w:themeFill="text2" w:themeFillTint="33"/>
            <w:vAlign w:val="center"/>
          </w:tcPr>
          <w:p w14:paraId="2F0D3771"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13</w:t>
            </w:r>
          </w:p>
        </w:tc>
        <w:tc>
          <w:tcPr>
            <w:tcW w:w="1275" w:type="dxa"/>
            <w:shd w:val="clear" w:color="auto" w:fill="C6D9F1" w:themeFill="text2" w:themeFillTint="33"/>
            <w:vAlign w:val="center"/>
          </w:tcPr>
          <w:p w14:paraId="2914BB46"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val="sr-Cyrl-RS" w:eastAsia="sr-Latn-RS"/>
              </w:rPr>
              <w:t>2.383.000,00</w:t>
            </w:r>
          </w:p>
        </w:tc>
        <w:tc>
          <w:tcPr>
            <w:tcW w:w="1276" w:type="dxa"/>
            <w:shd w:val="clear" w:color="auto" w:fill="C6D9F1" w:themeFill="text2" w:themeFillTint="33"/>
            <w:vAlign w:val="center"/>
          </w:tcPr>
          <w:p w14:paraId="1B614260"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val="sr-Cyrl-RS" w:eastAsia="sr-Latn-RS"/>
              </w:rPr>
              <w:t>1.191.500,00</w:t>
            </w:r>
          </w:p>
        </w:tc>
        <w:tc>
          <w:tcPr>
            <w:tcW w:w="1276" w:type="dxa"/>
            <w:shd w:val="clear" w:color="auto" w:fill="C6D9F1" w:themeFill="text2" w:themeFillTint="33"/>
            <w:vAlign w:val="center"/>
          </w:tcPr>
          <w:p w14:paraId="7D3C1D76" w14:textId="77777777" w:rsidR="008307BD" w:rsidRPr="00A522F7" w:rsidRDefault="00C779CA" w:rsidP="001163A8">
            <w:pPr>
              <w:jc w:val="center"/>
              <w:rPr>
                <w:rFonts w:asciiTheme="minorHAnsi" w:hAnsiTheme="minorHAnsi"/>
                <w:b/>
                <w:sz w:val="16"/>
                <w:szCs w:val="16"/>
                <w:lang w:val="sr-Cyrl-RS" w:eastAsia="sr-Latn-RS"/>
              </w:rPr>
            </w:pPr>
            <w:r>
              <w:rPr>
                <w:rFonts w:asciiTheme="minorHAnsi" w:hAnsiTheme="minorHAnsi"/>
                <w:b/>
                <w:sz w:val="16"/>
                <w:szCs w:val="16"/>
                <w:lang w:val="sr-Cyrl-RS" w:eastAsia="sr-Latn-RS"/>
              </w:rPr>
              <w:t>8,01</w:t>
            </w:r>
            <w:r w:rsidR="00A522F7" w:rsidRPr="00A522F7">
              <w:rPr>
                <w:rFonts w:asciiTheme="minorHAnsi" w:hAnsiTheme="minorHAnsi"/>
                <w:b/>
                <w:sz w:val="16"/>
                <w:szCs w:val="16"/>
                <w:lang w:val="sr-Cyrl-RS" w:eastAsia="sr-Latn-RS"/>
              </w:rPr>
              <w:t>%</w:t>
            </w:r>
          </w:p>
        </w:tc>
      </w:tr>
      <w:tr w:rsidR="00961BDD" w:rsidRPr="008307BD" w14:paraId="4DD634BE" w14:textId="77777777" w:rsidTr="00961BDD">
        <w:trPr>
          <w:trHeight w:val="219"/>
        </w:trPr>
        <w:tc>
          <w:tcPr>
            <w:tcW w:w="1271" w:type="dxa"/>
            <w:vMerge w:val="restart"/>
            <w:shd w:val="clear" w:color="auto" w:fill="auto"/>
            <w:vAlign w:val="center"/>
            <w:hideMark/>
          </w:tcPr>
          <w:p w14:paraId="5958387A" w14:textId="77777777" w:rsidR="00961BDD" w:rsidRPr="00961BDD" w:rsidRDefault="00961BD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val="sr-Latn-RS" w:eastAsia="sr-Latn-RS"/>
              </w:rPr>
              <w:t>МФ банка а.д. Бања Лука</w:t>
            </w:r>
          </w:p>
        </w:tc>
        <w:tc>
          <w:tcPr>
            <w:tcW w:w="1418" w:type="dxa"/>
            <w:vAlign w:val="center"/>
          </w:tcPr>
          <w:p w14:paraId="287B90B7" w14:textId="77777777" w:rsidR="00961BDD" w:rsidRPr="00961BDD" w:rsidRDefault="00961BDD" w:rsidP="008307BD">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Општи портфељ</w:t>
            </w:r>
          </w:p>
        </w:tc>
        <w:tc>
          <w:tcPr>
            <w:tcW w:w="1417" w:type="dxa"/>
            <w:vAlign w:val="center"/>
          </w:tcPr>
          <w:p w14:paraId="276B81A4"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10.000.000,00</w:t>
            </w:r>
          </w:p>
        </w:tc>
        <w:tc>
          <w:tcPr>
            <w:tcW w:w="851" w:type="dxa"/>
            <w:vAlign w:val="center"/>
          </w:tcPr>
          <w:p w14:paraId="62593D27"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val="sr-Cyrl-RS" w:eastAsia="sr-Latn-RS"/>
              </w:rPr>
              <w:t>18</w:t>
            </w:r>
          </w:p>
        </w:tc>
        <w:tc>
          <w:tcPr>
            <w:tcW w:w="1275" w:type="dxa"/>
            <w:shd w:val="clear" w:color="auto" w:fill="auto"/>
            <w:vAlign w:val="center"/>
            <w:hideMark/>
          </w:tcPr>
          <w:p w14:paraId="148BF370"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val="sr-Cyrl-RS" w:eastAsia="sr-Latn-RS"/>
              </w:rPr>
              <w:t>2.145</w:t>
            </w:r>
            <w:r w:rsidRPr="00961BDD">
              <w:rPr>
                <w:rFonts w:asciiTheme="minorHAnsi" w:hAnsiTheme="minorHAnsi"/>
                <w:sz w:val="16"/>
                <w:szCs w:val="16"/>
                <w:lang w:val="sr-Latn-RS" w:eastAsia="sr-Latn-RS"/>
              </w:rPr>
              <w:t>.000,00</w:t>
            </w:r>
          </w:p>
        </w:tc>
        <w:tc>
          <w:tcPr>
            <w:tcW w:w="1276" w:type="dxa"/>
            <w:shd w:val="clear" w:color="auto" w:fill="auto"/>
            <w:vAlign w:val="center"/>
            <w:hideMark/>
          </w:tcPr>
          <w:p w14:paraId="5806C33D"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val="sr-Cyrl-RS" w:eastAsia="sr-Latn-RS"/>
              </w:rPr>
              <w:t>1.072.500</w:t>
            </w:r>
            <w:r w:rsidRPr="00961BDD">
              <w:rPr>
                <w:rFonts w:asciiTheme="minorHAnsi" w:hAnsiTheme="minorHAnsi"/>
                <w:sz w:val="16"/>
                <w:szCs w:val="16"/>
                <w:lang w:val="sr-Latn-RS" w:eastAsia="sr-Latn-RS"/>
              </w:rPr>
              <w:t>,00</w:t>
            </w:r>
          </w:p>
        </w:tc>
        <w:tc>
          <w:tcPr>
            <w:tcW w:w="1276" w:type="dxa"/>
            <w:vAlign w:val="center"/>
          </w:tcPr>
          <w:p w14:paraId="167CD3CE" w14:textId="77777777" w:rsidR="00961BDD" w:rsidRPr="00961BDD" w:rsidRDefault="00C779CA" w:rsidP="001163A8">
            <w:pPr>
              <w:jc w:val="center"/>
              <w:rPr>
                <w:rFonts w:asciiTheme="minorHAnsi" w:hAnsiTheme="minorHAnsi"/>
                <w:sz w:val="16"/>
                <w:szCs w:val="16"/>
                <w:lang w:val="sr-Cyrl-RS" w:eastAsia="sr-Latn-RS"/>
              </w:rPr>
            </w:pPr>
            <w:r>
              <w:rPr>
                <w:rFonts w:asciiTheme="minorHAnsi" w:hAnsiTheme="minorHAnsi"/>
                <w:sz w:val="16"/>
                <w:szCs w:val="16"/>
                <w:lang w:val="sr-Cyrl-RS" w:eastAsia="sr-Latn-RS"/>
              </w:rPr>
              <w:t>8,01</w:t>
            </w:r>
            <w:r w:rsidR="00961BDD" w:rsidRPr="00961BDD">
              <w:rPr>
                <w:rFonts w:asciiTheme="minorHAnsi" w:hAnsiTheme="minorHAnsi"/>
                <w:sz w:val="16"/>
                <w:szCs w:val="16"/>
                <w:lang w:val="sr-Cyrl-RS" w:eastAsia="sr-Latn-RS"/>
              </w:rPr>
              <w:t>%</w:t>
            </w:r>
          </w:p>
        </w:tc>
      </w:tr>
      <w:tr w:rsidR="00961BDD" w:rsidRPr="008307BD" w14:paraId="77662E79" w14:textId="77777777" w:rsidTr="00961BDD">
        <w:trPr>
          <w:trHeight w:val="219"/>
        </w:trPr>
        <w:tc>
          <w:tcPr>
            <w:tcW w:w="1271" w:type="dxa"/>
            <w:vMerge/>
            <w:shd w:val="clear" w:color="auto" w:fill="auto"/>
            <w:vAlign w:val="center"/>
          </w:tcPr>
          <w:p w14:paraId="2DB22BA0" w14:textId="77777777" w:rsidR="00961BDD" w:rsidRPr="00961BDD" w:rsidRDefault="00961BDD" w:rsidP="001538EF">
            <w:pPr>
              <w:jc w:val="left"/>
              <w:rPr>
                <w:rFonts w:asciiTheme="minorHAnsi" w:hAnsiTheme="minorHAnsi"/>
                <w:caps/>
                <w:sz w:val="16"/>
                <w:szCs w:val="16"/>
                <w:lang w:val="sr-Latn-RS" w:eastAsia="sr-Latn-RS"/>
              </w:rPr>
            </w:pPr>
          </w:p>
        </w:tc>
        <w:tc>
          <w:tcPr>
            <w:tcW w:w="1418" w:type="dxa"/>
            <w:vAlign w:val="center"/>
          </w:tcPr>
          <w:p w14:paraId="2740615C" w14:textId="77777777" w:rsidR="00961BDD" w:rsidRPr="00961BDD" w:rsidRDefault="00961BDD" w:rsidP="00C779CA">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 xml:space="preserve">Портфељ за </w:t>
            </w:r>
            <w:r w:rsidR="00C779CA">
              <w:rPr>
                <w:rFonts w:asciiTheme="minorHAnsi" w:hAnsiTheme="minorHAnsi"/>
                <w:sz w:val="16"/>
                <w:szCs w:val="16"/>
                <w:lang w:val="sr-Cyrl-RS" w:eastAsia="sr-Latn-RS"/>
              </w:rPr>
              <w:t>ОИЕ</w:t>
            </w:r>
          </w:p>
        </w:tc>
        <w:tc>
          <w:tcPr>
            <w:tcW w:w="1417" w:type="dxa"/>
            <w:vAlign w:val="center"/>
          </w:tcPr>
          <w:p w14:paraId="6BE3BDCB"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5.000.000,00</w:t>
            </w:r>
          </w:p>
        </w:tc>
        <w:tc>
          <w:tcPr>
            <w:tcW w:w="851" w:type="dxa"/>
            <w:vAlign w:val="center"/>
          </w:tcPr>
          <w:p w14:paraId="1AF4F781" w14:textId="77777777" w:rsidR="00961BDD" w:rsidRPr="00A522F7" w:rsidRDefault="00A522F7" w:rsidP="0066469A">
            <w:pPr>
              <w:jc w:val="center"/>
              <w:rPr>
                <w:rFonts w:asciiTheme="minorHAnsi" w:hAnsiTheme="minorHAnsi"/>
                <w:sz w:val="16"/>
                <w:szCs w:val="16"/>
                <w:lang w:val="sr-Cyrl-RS" w:eastAsia="sr-Latn-RS"/>
              </w:rPr>
            </w:pPr>
            <w:r>
              <w:rPr>
                <w:rFonts w:asciiTheme="minorHAnsi" w:hAnsiTheme="minorHAnsi"/>
                <w:sz w:val="16"/>
                <w:szCs w:val="16"/>
                <w:lang w:val="sr-Cyrl-RS" w:eastAsia="sr-Latn-RS"/>
              </w:rPr>
              <w:t>0</w:t>
            </w:r>
          </w:p>
        </w:tc>
        <w:tc>
          <w:tcPr>
            <w:tcW w:w="1275" w:type="dxa"/>
            <w:shd w:val="clear" w:color="auto" w:fill="auto"/>
            <w:vAlign w:val="center"/>
          </w:tcPr>
          <w:p w14:paraId="42C7D2ED"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w:t>
            </w:r>
          </w:p>
        </w:tc>
        <w:tc>
          <w:tcPr>
            <w:tcW w:w="1276" w:type="dxa"/>
            <w:shd w:val="clear" w:color="auto" w:fill="auto"/>
            <w:vAlign w:val="center"/>
          </w:tcPr>
          <w:p w14:paraId="06F39762"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w:t>
            </w:r>
          </w:p>
        </w:tc>
        <w:tc>
          <w:tcPr>
            <w:tcW w:w="1276" w:type="dxa"/>
            <w:vAlign w:val="center"/>
          </w:tcPr>
          <w:p w14:paraId="4A033071" w14:textId="77777777" w:rsidR="00961BDD" w:rsidRPr="00961BDD" w:rsidRDefault="00961BDD" w:rsidP="001163A8">
            <w:pPr>
              <w:jc w:val="center"/>
              <w:rPr>
                <w:rFonts w:asciiTheme="minorHAnsi" w:hAnsiTheme="minorHAnsi"/>
                <w:sz w:val="16"/>
                <w:szCs w:val="16"/>
                <w:lang w:val="sr-Cyrl-RS" w:eastAsia="sr-Latn-RS"/>
              </w:rPr>
            </w:pPr>
          </w:p>
        </w:tc>
      </w:tr>
      <w:tr w:rsidR="008307BD" w:rsidRPr="008307BD" w14:paraId="2DC492B5" w14:textId="77777777" w:rsidTr="00961BDD">
        <w:trPr>
          <w:trHeight w:val="219"/>
        </w:trPr>
        <w:tc>
          <w:tcPr>
            <w:tcW w:w="2689" w:type="dxa"/>
            <w:gridSpan w:val="2"/>
            <w:shd w:val="clear" w:color="auto" w:fill="C6D9F1" w:themeFill="text2" w:themeFillTint="33"/>
            <w:vAlign w:val="center"/>
          </w:tcPr>
          <w:p w14:paraId="2611C67A"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УКУПНО</w:t>
            </w:r>
          </w:p>
        </w:tc>
        <w:tc>
          <w:tcPr>
            <w:tcW w:w="1417" w:type="dxa"/>
            <w:shd w:val="clear" w:color="auto" w:fill="C6D9F1" w:themeFill="text2" w:themeFillTint="33"/>
            <w:vAlign w:val="center"/>
          </w:tcPr>
          <w:p w14:paraId="12F80D2A"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15.000.000,00</w:t>
            </w:r>
          </w:p>
        </w:tc>
        <w:tc>
          <w:tcPr>
            <w:tcW w:w="851" w:type="dxa"/>
            <w:shd w:val="clear" w:color="auto" w:fill="C6D9F1" w:themeFill="text2" w:themeFillTint="33"/>
            <w:vAlign w:val="center"/>
          </w:tcPr>
          <w:p w14:paraId="511DCBBD"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18</w:t>
            </w:r>
          </w:p>
        </w:tc>
        <w:tc>
          <w:tcPr>
            <w:tcW w:w="1275" w:type="dxa"/>
            <w:shd w:val="clear" w:color="auto" w:fill="C6D9F1" w:themeFill="text2" w:themeFillTint="33"/>
            <w:vAlign w:val="center"/>
          </w:tcPr>
          <w:p w14:paraId="7F1DF66F"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val="sr-Cyrl-RS" w:eastAsia="sr-Latn-RS"/>
              </w:rPr>
              <w:t>2.145.000,00</w:t>
            </w:r>
          </w:p>
        </w:tc>
        <w:tc>
          <w:tcPr>
            <w:tcW w:w="1276" w:type="dxa"/>
            <w:shd w:val="clear" w:color="auto" w:fill="C6D9F1" w:themeFill="text2" w:themeFillTint="33"/>
            <w:vAlign w:val="center"/>
          </w:tcPr>
          <w:p w14:paraId="3B840C4A"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val="sr-Cyrl-RS" w:eastAsia="sr-Latn-RS"/>
              </w:rPr>
              <w:t>1.072.500,00</w:t>
            </w:r>
          </w:p>
        </w:tc>
        <w:tc>
          <w:tcPr>
            <w:tcW w:w="1276" w:type="dxa"/>
            <w:shd w:val="clear" w:color="auto" w:fill="C6D9F1" w:themeFill="text2" w:themeFillTint="33"/>
            <w:vAlign w:val="center"/>
          </w:tcPr>
          <w:p w14:paraId="53D85869" w14:textId="77777777" w:rsidR="008307BD" w:rsidRPr="00A522F7" w:rsidRDefault="00A522F7" w:rsidP="008307BD">
            <w:pPr>
              <w:jc w:val="center"/>
              <w:rPr>
                <w:rFonts w:asciiTheme="minorHAnsi" w:hAnsiTheme="minorHAnsi"/>
                <w:b/>
                <w:sz w:val="16"/>
                <w:szCs w:val="16"/>
                <w:lang w:val="sr-Cyrl-RS" w:eastAsia="sr-Latn-RS"/>
              </w:rPr>
            </w:pPr>
            <w:r>
              <w:rPr>
                <w:rFonts w:asciiTheme="minorHAnsi" w:hAnsiTheme="minorHAnsi"/>
                <w:b/>
                <w:sz w:val="16"/>
                <w:szCs w:val="16"/>
                <w:lang w:val="sr-Cyrl-RS" w:eastAsia="sr-Latn-RS"/>
              </w:rPr>
              <w:t>7,21%</w:t>
            </w:r>
          </w:p>
        </w:tc>
      </w:tr>
      <w:tr w:rsidR="00961BDD" w:rsidRPr="008307BD" w14:paraId="7485DD93" w14:textId="77777777" w:rsidTr="00961BDD">
        <w:trPr>
          <w:trHeight w:val="219"/>
        </w:trPr>
        <w:tc>
          <w:tcPr>
            <w:tcW w:w="1271" w:type="dxa"/>
            <w:shd w:val="clear" w:color="auto" w:fill="auto"/>
            <w:vAlign w:val="center"/>
          </w:tcPr>
          <w:p w14:paraId="693CE612" w14:textId="77777777" w:rsidR="008307BD" w:rsidRPr="00C779CA" w:rsidRDefault="008307BD" w:rsidP="00C779CA">
            <w:pPr>
              <w:ind w:right="-108"/>
              <w:jc w:val="left"/>
              <w:rPr>
                <w:rFonts w:asciiTheme="minorHAnsi" w:hAnsiTheme="minorHAnsi"/>
                <w:caps/>
                <w:sz w:val="16"/>
                <w:szCs w:val="16"/>
                <w:lang w:val="sr-Cyrl-RS" w:eastAsia="sr-Latn-RS"/>
              </w:rPr>
            </w:pPr>
            <w:r w:rsidRPr="00961BDD">
              <w:rPr>
                <w:rFonts w:asciiTheme="minorHAnsi" w:hAnsiTheme="minorHAnsi"/>
                <w:caps/>
                <w:sz w:val="16"/>
                <w:szCs w:val="16"/>
                <w:lang w:val="sr-Latn-RS" w:eastAsia="sr-Latn-RS"/>
              </w:rPr>
              <w:t xml:space="preserve">SPARKASSE BANK д.д. </w:t>
            </w:r>
            <w:r w:rsidR="00C779CA">
              <w:rPr>
                <w:rFonts w:asciiTheme="minorHAnsi" w:hAnsiTheme="minorHAnsi"/>
                <w:caps/>
                <w:sz w:val="16"/>
                <w:szCs w:val="16"/>
                <w:lang w:val="sr-Cyrl-RS" w:eastAsia="sr-Latn-RS"/>
              </w:rPr>
              <w:t>БИХ</w:t>
            </w:r>
          </w:p>
        </w:tc>
        <w:tc>
          <w:tcPr>
            <w:tcW w:w="1418" w:type="dxa"/>
            <w:vAlign w:val="center"/>
          </w:tcPr>
          <w:p w14:paraId="605322D8" w14:textId="77777777" w:rsidR="008307BD" w:rsidRPr="00961BDD" w:rsidRDefault="008307BD" w:rsidP="008307BD">
            <w:pPr>
              <w:jc w:val="center"/>
              <w:rPr>
                <w:rFonts w:asciiTheme="minorHAnsi" w:hAnsiTheme="minorHAnsi"/>
                <w:sz w:val="16"/>
                <w:szCs w:val="16"/>
                <w:lang w:val="sr-Latn-RS" w:eastAsia="sr-Latn-RS"/>
              </w:rPr>
            </w:pPr>
            <w:r w:rsidRPr="00961BDD">
              <w:rPr>
                <w:rFonts w:asciiTheme="minorHAnsi" w:hAnsiTheme="minorHAnsi"/>
                <w:sz w:val="16"/>
                <w:szCs w:val="16"/>
                <w:lang w:val="sr-Cyrl-RS" w:eastAsia="sr-Latn-RS"/>
              </w:rPr>
              <w:t>Општи портфељ</w:t>
            </w:r>
          </w:p>
        </w:tc>
        <w:tc>
          <w:tcPr>
            <w:tcW w:w="1417" w:type="dxa"/>
            <w:vAlign w:val="center"/>
          </w:tcPr>
          <w:p w14:paraId="706C9E4B"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10.000.000,00</w:t>
            </w:r>
          </w:p>
        </w:tc>
        <w:tc>
          <w:tcPr>
            <w:tcW w:w="851" w:type="dxa"/>
            <w:vAlign w:val="center"/>
          </w:tcPr>
          <w:p w14:paraId="12019DAF" w14:textId="77777777" w:rsidR="008307BD" w:rsidRPr="00961BDD" w:rsidRDefault="008307BD" w:rsidP="0066469A">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0</w:t>
            </w:r>
          </w:p>
        </w:tc>
        <w:tc>
          <w:tcPr>
            <w:tcW w:w="1275" w:type="dxa"/>
            <w:shd w:val="clear" w:color="auto" w:fill="auto"/>
            <w:vAlign w:val="center"/>
          </w:tcPr>
          <w:p w14:paraId="630AEE8E" w14:textId="77777777" w:rsidR="008307B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val="sr-Cyrl-RS" w:eastAsia="sr-Latn-RS"/>
              </w:rPr>
              <w:t>-</w:t>
            </w:r>
          </w:p>
        </w:tc>
        <w:tc>
          <w:tcPr>
            <w:tcW w:w="1276" w:type="dxa"/>
            <w:shd w:val="clear" w:color="auto" w:fill="auto"/>
            <w:vAlign w:val="center"/>
          </w:tcPr>
          <w:p w14:paraId="356EAF54" w14:textId="77777777" w:rsidR="008307BD" w:rsidRPr="00961BDD" w:rsidRDefault="008307BD" w:rsidP="001538EF">
            <w:pPr>
              <w:jc w:val="right"/>
              <w:rPr>
                <w:rFonts w:asciiTheme="minorHAnsi" w:hAnsiTheme="minorHAnsi"/>
                <w:sz w:val="16"/>
                <w:szCs w:val="16"/>
                <w:lang w:val="sr-Cyrl-RS" w:eastAsia="sr-Latn-RS"/>
              </w:rPr>
            </w:pPr>
            <w:r w:rsidRPr="00961BDD">
              <w:rPr>
                <w:rFonts w:asciiTheme="minorHAnsi" w:hAnsiTheme="minorHAnsi"/>
                <w:sz w:val="16"/>
                <w:szCs w:val="16"/>
                <w:lang w:val="sr-Cyrl-RS" w:eastAsia="sr-Latn-RS"/>
              </w:rPr>
              <w:t>-</w:t>
            </w:r>
          </w:p>
        </w:tc>
        <w:tc>
          <w:tcPr>
            <w:tcW w:w="1276" w:type="dxa"/>
            <w:vAlign w:val="center"/>
          </w:tcPr>
          <w:p w14:paraId="7248F903"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val="sr-Cyrl-RS" w:eastAsia="sr-Latn-RS"/>
              </w:rPr>
              <w:t>0,00%</w:t>
            </w:r>
          </w:p>
        </w:tc>
      </w:tr>
      <w:tr w:rsidR="008307BD" w:rsidRPr="008307BD" w14:paraId="3EC00B76" w14:textId="77777777" w:rsidTr="00961BDD">
        <w:trPr>
          <w:trHeight w:val="219"/>
        </w:trPr>
        <w:tc>
          <w:tcPr>
            <w:tcW w:w="2689" w:type="dxa"/>
            <w:gridSpan w:val="2"/>
            <w:shd w:val="clear" w:color="auto" w:fill="C6D9F1" w:themeFill="text2" w:themeFillTint="33"/>
            <w:vAlign w:val="center"/>
          </w:tcPr>
          <w:p w14:paraId="4E924969" w14:textId="77777777" w:rsidR="008307BD" w:rsidRPr="00A522F7" w:rsidRDefault="00961BDD" w:rsidP="000704FD">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УКУПНО</w:t>
            </w:r>
          </w:p>
        </w:tc>
        <w:tc>
          <w:tcPr>
            <w:tcW w:w="1417" w:type="dxa"/>
            <w:shd w:val="clear" w:color="auto" w:fill="C6D9F1" w:themeFill="text2" w:themeFillTint="33"/>
          </w:tcPr>
          <w:p w14:paraId="5D172878" w14:textId="77777777" w:rsidR="008307BD" w:rsidRPr="00A522F7" w:rsidRDefault="00961BDD" w:rsidP="00617C37">
            <w:pPr>
              <w:ind w:right="-108"/>
              <w:jc w:val="right"/>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10.000.000,00</w:t>
            </w:r>
          </w:p>
        </w:tc>
        <w:tc>
          <w:tcPr>
            <w:tcW w:w="851" w:type="dxa"/>
            <w:shd w:val="clear" w:color="auto" w:fill="C6D9F1" w:themeFill="text2" w:themeFillTint="33"/>
            <w:vAlign w:val="center"/>
          </w:tcPr>
          <w:p w14:paraId="5C786FF0"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val="sr-Cyrl-RS" w:eastAsia="sr-Latn-RS"/>
              </w:rPr>
              <w:t>0</w:t>
            </w:r>
          </w:p>
        </w:tc>
        <w:tc>
          <w:tcPr>
            <w:tcW w:w="1275" w:type="dxa"/>
            <w:shd w:val="clear" w:color="auto" w:fill="C6D9F1" w:themeFill="text2" w:themeFillTint="33"/>
            <w:vAlign w:val="center"/>
          </w:tcPr>
          <w:p w14:paraId="136B3D0E" w14:textId="77777777" w:rsidR="008307BD" w:rsidRPr="00CC181D" w:rsidRDefault="00CC181D" w:rsidP="00CC181D">
            <w:pPr>
              <w:jc w:val="right"/>
              <w:rPr>
                <w:rFonts w:asciiTheme="minorHAnsi" w:hAnsiTheme="minorHAnsi"/>
                <w:b/>
                <w:sz w:val="16"/>
                <w:szCs w:val="16"/>
                <w:lang w:eastAsia="sr-Latn-RS"/>
              </w:rPr>
            </w:pPr>
            <w:r>
              <w:rPr>
                <w:rFonts w:asciiTheme="minorHAnsi" w:hAnsiTheme="minorHAnsi"/>
                <w:b/>
                <w:sz w:val="16"/>
                <w:szCs w:val="16"/>
                <w:lang w:eastAsia="sr-Latn-RS"/>
              </w:rPr>
              <w:t>-</w:t>
            </w:r>
          </w:p>
        </w:tc>
        <w:tc>
          <w:tcPr>
            <w:tcW w:w="1276" w:type="dxa"/>
            <w:shd w:val="clear" w:color="auto" w:fill="C6D9F1" w:themeFill="text2" w:themeFillTint="33"/>
            <w:vAlign w:val="center"/>
          </w:tcPr>
          <w:p w14:paraId="14120706" w14:textId="77777777" w:rsidR="008307BD" w:rsidRPr="00CC181D" w:rsidRDefault="00CC181D" w:rsidP="001538EF">
            <w:pPr>
              <w:jc w:val="right"/>
              <w:rPr>
                <w:rFonts w:asciiTheme="minorHAnsi" w:hAnsiTheme="minorHAnsi"/>
                <w:b/>
                <w:sz w:val="16"/>
                <w:szCs w:val="16"/>
                <w:lang w:eastAsia="sr-Latn-RS"/>
              </w:rPr>
            </w:pPr>
            <w:r>
              <w:rPr>
                <w:rFonts w:asciiTheme="minorHAnsi" w:hAnsiTheme="minorHAnsi"/>
                <w:b/>
                <w:sz w:val="16"/>
                <w:szCs w:val="16"/>
                <w:lang w:eastAsia="sr-Latn-RS"/>
              </w:rPr>
              <w:t>-</w:t>
            </w:r>
          </w:p>
        </w:tc>
        <w:tc>
          <w:tcPr>
            <w:tcW w:w="1276" w:type="dxa"/>
            <w:shd w:val="clear" w:color="auto" w:fill="C6D9F1" w:themeFill="text2" w:themeFillTint="33"/>
            <w:vAlign w:val="center"/>
          </w:tcPr>
          <w:p w14:paraId="12A428DB" w14:textId="77777777" w:rsidR="008307BD" w:rsidRPr="00A522F7" w:rsidRDefault="008307BD" w:rsidP="001163A8">
            <w:pPr>
              <w:jc w:val="center"/>
              <w:rPr>
                <w:rFonts w:asciiTheme="minorHAnsi" w:hAnsiTheme="minorHAnsi"/>
                <w:b/>
                <w:sz w:val="16"/>
                <w:szCs w:val="16"/>
                <w:lang w:val="sr-Cyrl-RS" w:eastAsia="sr-Latn-RS"/>
              </w:rPr>
            </w:pPr>
          </w:p>
        </w:tc>
      </w:tr>
      <w:tr w:rsidR="00A522F7" w:rsidRPr="008307BD" w14:paraId="6D7AAA8A" w14:textId="77777777" w:rsidTr="00A522F7">
        <w:trPr>
          <w:trHeight w:val="249"/>
        </w:trPr>
        <w:tc>
          <w:tcPr>
            <w:tcW w:w="2689" w:type="dxa"/>
            <w:gridSpan w:val="2"/>
            <w:shd w:val="clear" w:color="auto" w:fill="548DD4" w:themeFill="text2" w:themeFillTint="99"/>
            <w:vAlign w:val="center"/>
            <w:hideMark/>
          </w:tcPr>
          <w:p w14:paraId="688486A8" w14:textId="77777777" w:rsidR="00A522F7" w:rsidRPr="00961BDD" w:rsidRDefault="00A522F7" w:rsidP="00A522F7">
            <w:pPr>
              <w:jc w:val="center"/>
              <w:rPr>
                <w:rFonts w:asciiTheme="minorHAnsi" w:hAnsiTheme="minorHAnsi"/>
                <w:b/>
                <w:bCs/>
                <w:sz w:val="16"/>
                <w:szCs w:val="16"/>
                <w:lang w:val="sr-Cyrl-RS" w:eastAsia="sr-Latn-RS"/>
              </w:rPr>
            </w:pPr>
            <w:r w:rsidRPr="00961BDD">
              <w:rPr>
                <w:rFonts w:asciiTheme="minorHAnsi" w:hAnsiTheme="minorHAnsi"/>
                <w:b/>
                <w:bCs/>
                <w:color w:val="auto"/>
                <w:sz w:val="16"/>
                <w:szCs w:val="16"/>
                <w:lang w:val="sr-Cyrl-RS" w:eastAsia="sr-Latn-RS"/>
              </w:rPr>
              <w:t>УКУПНО</w:t>
            </w:r>
          </w:p>
        </w:tc>
        <w:tc>
          <w:tcPr>
            <w:tcW w:w="1417" w:type="dxa"/>
            <w:shd w:val="clear" w:color="auto" w:fill="548DD4" w:themeFill="text2" w:themeFillTint="99"/>
            <w:vAlign w:val="center"/>
          </w:tcPr>
          <w:p w14:paraId="3F2EBE3D" w14:textId="77777777" w:rsidR="00A522F7" w:rsidRPr="00961BDD" w:rsidRDefault="00A522F7" w:rsidP="00A522F7">
            <w:pPr>
              <w:jc w:val="right"/>
              <w:rPr>
                <w:rFonts w:asciiTheme="minorHAnsi" w:hAnsiTheme="minorHAnsi"/>
                <w:b/>
                <w:bCs/>
                <w:sz w:val="16"/>
                <w:szCs w:val="16"/>
                <w:lang w:val="sr-Cyrl-RS" w:eastAsia="sr-Latn-RS"/>
              </w:rPr>
            </w:pPr>
            <w:r>
              <w:rPr>
                <w:rFonts w:asciiTheme="minorHAnsi" w:hAnsiTheme="minorHAnsi"/>
                <w:b/>
                <w:bCs/>
                <w:sz w:val="16"/>
                <w:szCs w:val="16"/>
                <w:lang w:val="sr-Cyrl-RS" w:eastAsia="sr-Latn-RS"/>
              </w:rPr>
              <w:t>135.000.000,00</w:t>
            </w:r>
          </w:p>
        </w:tc>
        <w:tc>
          <w:tcPr>
            <w:tcW w:w="851" w:type="dxa"/>
            <w:shd w:val="clear" w:color="auto" w:fill="548DD4" w:themeFill="text2" w:themeFillTint="99"/>
            <w:vAlign w:val="center"/>
          </w:tcPr>
          <w:p w14:paraId="7F44F084" w14:textId="77777777" w:rsidR="00A522F7" w:rsidRPr="00961BDD" w:rsidRDefault="00A522F7" w:rsidP="00A522F7">
            <w:pPr>
              <w:jc w:val="center"/>
              <w:rPr>
                <w:rFonts w:asciiTheme="minorHAnsi" w:hAnsiTheme="minorHAnsi"/>
                <w:b/>
                <w:bCs/>
                <w:sz w:val="16"/>
                <w:szCs w:val="16"/>
                <w:lang w:val="sr-Cyrl-RS" w:eastAsia="sr-Latn-RS"/>
              </w:rPr>
            </w:pPr>
            <w:r w:rsidRPr="00961BDD">
              <w:rPr>
                <w:rFonts w:asciiTheme="minorHAnsi" w:hAnsiTheme="minorHAnsi"/>
                <w:b/>
                <w:bCs/>
                <w:sz w:val="16"/>
                <w:szCs w:val="16"/>
                <w:lang w:val="sr-Cyrl-RS" w:eastAsia="sr-Latn-RS"/>
              </w:rPr>
              <w:t>1</w:t>
            </w:r>
            <w:r>
              <w:rPr>
                <w:rFonts w:asciiTheme="minorHAnsi" w:hAnsiTheme="minorHAnsi"/>
                <w:b/>
                <w:bCs/>
                <w:sz w:val="16"/>
                <w:szCs w:val="16"/>
                <w:lang w:val="sr-Cyrl-RS" w:eastAsia="sr-Latn-RS"/>
              </w:rPr>
              <w:t>22</w:t>
            </w:r>
          </w:p>
        </w:tc>
        <w:tc>
          <w:tcPr>
            <w:tcW w:w="1275" w:type="dxa"/>
            <w:shd w:val="clear" w:color="auto" w:fill="548DD4" w:themeFill="text2" w:themeFillTint="99"/>
            <w:vAlign w:val="center"/>
            <w:hideMark/>
          </w:tcPr>
          <w:p w14:paraId="12CBE74D" w14:textId="77777777" w:rsidR="00A522F7" w:rsidRPr="00961BDD" w:rsidRDefault="00A522F7" w:rsidP="001163A8">
            <w:pPr>
              <w:jc w:val="right"/>
              <w:rPr>
                <w:rFonts w:asciiTheme="minorHAnsi" w:hAnsiTheme="minorHAnsi"/>
                <w:b/>
                <w:bCs/>
                <w:sz w:val="16"/>
                <w:szCs w:val="16"/>
                <w:lang w:val="sr-Cyrl-RS" w:eastAsia="sr-Latn-RS"/>
              </w:rPr>
            </w:pPr>
            <w:r>
              <w:rPr>
                <w:rFonts w:asciiTheme="minorHAnsi" w:hAnsiTheme="minorHAnsi"/>
                <w:b/>
                <w:bCs/>
                <w:sz w:val="16"/>
                <w:szCs w:val="16"/>
                <w:lang w:val="sr-Cyrl-RS" w:eastAsia="sr-Latn-RS"/>
              </w:rPr>
              <w:t>29.762</w:t>
            </w:r>
            <w:r w:rsidRPr="00961BDD">
              <w:rPr>
                <w:rFonts w:asciiTheme="minorHAnsi" w:hAnsiTheme="minorHAnsi"/>
                <w:b/>
                <w:bCs/>
                <w:sz w:val="16"/>
                <w:szCs w:val="16"/>
                <w:lang w:val="sr-Latn-RS" w:eastAsia="sr-Latn-RS"/>
              </w:rPr>
              <w:t>.</w:t>
            </w:r>
            <w:r w:rsidRPr="00961BDD">
              <w:rPr>
                <w:rFonts w:asciiTheme="minorHAnsi" w:hAnsiTheme="minorHAnsi"/>
                <w:b/>
                <w:bCs/>
                <w:sz w:val="16"/>
                <w:szCs w:val="16"/>
                <w:lang w:val="sr-Cyrl-RS" w:eastAsia="sr-Latn-RS"/>
              </w:rPr>
              <w:t>0</w:t>
            </w:r>
            <w:r w:rsidRPr="00961BDD">
              <w:rPr>
                <w:rFonts w:asciiTheme="minorHAnsi" w:hAnsiTheme="minorHAnsi"/>
                <w:b/>
                <w:bCs/>
                <w:sz w:val="16"/>
                <w:szCs w:val="16"/>
                <w:lang w:val="sr-Latn-RS" w:eastAsia="sr-Latn-RS"/>
              </w:rPr>
              <w:t>00,0</w:t>
            </w:r>
            <w:r>
              <w:rPr>
                <w:rFonts w:asciiTheme="minorHAnsi" w:hAnsiTheme="minorHAnsi"/>
                <w:b/>
                <w:bCs/>
                <w:sz w:val="16"/>
                <w:szCs w:val="16"/>
                <w:lang w:val="sr-Cyrl-RS" w:eastAsia="sr-Latn-RS"/>
              </w:rPr>
              <w:t>3</w:t>
            </w:r>
          </w:p>
        </w:tc>
        <w:tc>
          <w:tcPr>
            <w:tcW w:w="1276" w:type="dxa"/>
            <w:shd w:val="clear" w:color="auto" w:fill="548DD4" w:themeFill="text2" w:themeFillTint="99"/>
            <w:vAlign w:val="center"/>
            <w:hideMark/>
          </w:tcPr>
          <w:p w14:paraId="33752574" w14:textId="77777777" w:rsidR="00A522F7" w:rsidRPr="00CC181D" w:rsidRDefault="00A522F7" w:rsidP="001163A8">
            <w:pPr>
              <w:jc w:val="right"/>
              <w:rPr>
                <w:rFonts w:asciiTheme="minorHAnsi" w:hAnsiTheme="minorHAnsi"/>
                <w:b/>
                <w:bCs/>
                <w:sz w:val="16"/>
                <w:szCs w:val="16"/>
                <w:lang w:eastAsia="sr-Latn-RS"/>
              </w:rPr>
            </w:pPr>
            <w:r>
              <w:rPr>
                <w:rFonts w:asciiTheme="minorHAnsi" w:hAnsiTheme="minorHAnsi"/>
                <w:b/>
                <w:bCs/>
                <w:sz w:val="16"/>
                <w:szCs w:val="16"/>
                <w:lang w:val="sr-Cyrl-RS" w:eastAsia="sr-Latn-RS"/>
              </w:rPr>
              <w:t>14.881.000,02</w:t>
            </w:r>
          </w:p>
        </w:tc>
        <w:tc>
          <w:tcPr>
            <w:tcW w:w="1276" w:type="dxa"/>
            <w:shd w:val="clear" w:color="auto" w:fill="548DD4" w:themeFill="text2" w:themeFillTint="99"/>
          </w:tcPr>
          <w:p w14:paraId="302A9AA0" w14:textId="77777777" w:rsidR="00A522F7" w:rsidRPr="00961BDD" w:rsidRDefault="00A522F7" w:rsidP="00C779CA">
            <w:pPr>
              <w:jc w:val="center"/>
              <w:rPr>
                <w:rFonts w:asciiTheme="minorHAnsi" w:hAnsiTheme="minorHAnsi"/>
                <w:b/>
                <w:bCs/>
                <w:sz w:val="16"/>
                <w:szCs w:val="16"/>
                <w:lang w:val="sr-Cyrl-RS" w:eastAsia="sr-Latn-RS"/>
              </w:rPr>
            </w:pPr>
            <w:r w:rsidRPr="00961BDD">
              <w:rPr>
                <w:rFonts w:asciiTheme="minorHAnsi" w:hAnsiTheme="minorHAnsi"/>
                <w:b/>
                <w:bCs/>
                <w:sz w:val="16"/>
                <w:szCs w:val="16"/>
                <w:lang w:val="sr-Cyrl-RS" w:eastAsia="sr-Latn-RS"/>
              </w:rPr>
              <w:t>100%</w:t>
            </w:r>
          </w:p>
        </w:tc>
      </w:tr>
    </w:tbl>
    <w:p w14:paraId="15ED55BD" w14:textId="77777777" w:rsidR="001538EF" w:rsidRPr="008307BD" w:rsidRDefault="001538EF" w:rsidP="001538EF">
      <w:pPr>
        <w:pStyle w:val="Default"/>
        <w:ind w:left="1416" w:hanging="1416"/>
        <w:jc w:val="both"/>
        <w:rPr>
          <w:rFonts w:asciiTheme="minorHAnsi" w:hAnsiTheme="minorHAnsi" w:cs="Times New Roman"/>
          <w:color w:val="auto"/>
          <w:sz w:val="18"/>
          <w:szCs w:val="18"/>
          <w:lang w:val="sr-Cyrl-BA"/>
        </w:rPr>
      </w:pPr>
    </w:p>
    <w:p w14:paraId="4CFEF2D3" w14:textId="77777777" w:rsidR="001538EF" w:rsidRDefault="00036827"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Са </w:t>
      </w:r>
      <w:r w:rsidR="00585AD3">
        <w:rPr>
          <w:rFonts w:asciiTheme="minorHAnsi" w:hAnsiTheme="minorHAnsi" w:cs="Times New Roman"/>
          <w:color w:val="auto"/>
          <w:sz w:val="20"/>
          <w:szCs w:val="20"/>
          <w:lang w:val="sr-Cyrl-BA"/>
        </w:rPr>
        <w:t xml:space="preserve">4 финансијска </w:t>
      </w:r>
      <w:r>
        <w:rPr>
          <w:rFonts w:asciiTheme="minorHAnsi" w:hAnsiTheme="minorHAnsi" w:cs="Times New Roman"/>
          <w:color w:val="auto"/>
          <w:sz w:val="20"/>
          <w:szCs w:val="20"/>
          <w:lang w:val="sr-Cyrl-BA"/>
        </w:rPr>
        <w:t>посредника наведена у табели 11</w:t>
      </w:r>
      <w:r w:rsidR="00585AD3">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је уговорен </w:t>
      </w:r>
      <w:r w:rsidR="00585AD3">
        <w:rPr>
          <w:rFonts w:asciiTheme="minorHAnsi" w:hAnsiTheme="minorHAnsi" w:cs="Times New Roman"/>
          <w:color w:val="auto"/>
          <w:sz w:val="20"/>
          <w:szCs w:val="20"/>
          <w:lang w:val="sr-Cyrl-BA"/>
        </w:rPr>
        <w:t>пласман 135.000.000,00 КМ кредитних средстава уз максималну гаранцију у износу од 33.750.000,00 КМ</w:t>
      </w:r>
      <w:r w:rsidR="00CC181D">
        <w:rPr>
          <w:rFonts w:asciiTheme="minorHAnsi" w:hAnsiTheme="minorHAnsi" w:cs="Times New Roman"/>
          <w:color w:val="auto"/>
          <w:sz w:val="20"/>
          <w:szCs w:val="20"/>
        </w:rPr>
        <w:t xml:space="preserve">, </w:t>
      </w:r>
      <w:r w:rsidR="00CC181D">
        <w:rPr>
          <w:rFonts w:asciiTheme="minorHAnsi" w:hAnsiTheme="minorHAnsi" w:cs="Times New Roman"/>
          <w:color w:val="auto"/>
          <w:sz w:val="20"/>
          <w:szCs w:val="20"/>
          <w:lang w:val="sr-Cyrl-RS"/>
        </w:rPr>
        <w:t>односно 25% изложености</w:t>
      </w:r>
      <w:r w:rsidR="00585AD3">
        <w:rPr>
          <w:rFonts w:asciiTheme="minorHAnsi" w:hAnsiTheme="minorHAnsi" w:cs="Times New Roman"/>
          <w:color w:val="auto"/>
          <w:sz w:val="20"/>
          <w:szCs w:val="20"/>
          <w:lang w:val="sr-Cyrl-BA"/>
        </w:rPr>
        <w:t xml:space="preserve"> на нивоу портфеља. </w:t>
      </w:r>
      <w:r>
        <w:rPr>
          <w:rFonts w:asciiTheme="minorHAnsi" w:hAnsiTheme="minorHAnsi" w:cs="Times New Roman"/>
          <w:color w:val="auto"/>
          <w:sz w:val="20"/>
          <w:szCs w:val="20"/>
          <w:lang w:val="sr-Cyrl-BA"/>
        </w:rPr>
        <w:t xml:space="preserve">Уговорена стопа гарантованог износа по појединачном кредиту у оквиру портфеља је 50%. </w:t>
      </w:r>
      <w:r w:rsidR="00617C37">
        <w:rPr>
          <w:rFonts w:asciiTheme="minorHAnsi" w:hAnsiTheme="minorHAnsi" w:cs="Times New Roman"/>
          <w:color w:val="auto"/>
          <w:sz w:val="20"/>
          <w:szCs w:val="20"/>
          <w:lang w:val="sr-Cyrl-BA"/>
        </w:rPr>
        <w:t>Током 2023. године су</w:t>
      </w:r>
      <w:r w:rsidR="00585AD3">
        <w:rPr>
          <w:rFonts w:asciiTheme="minorHAnsi" w:hAnsiTheme="minorHAnsi" w:cs="Times New Roman"/>
          <w:color w:val="auto"/>
          <w:sz w:val="20"/>
          <w:szCs w:val="20"/>
          <w:lang w:val="sr-Cyrl-BA"/>
        </w:rPr>
        <w:t xml:space="preserve"> пласиран</w:t>
      </w:r>
      <w:r w:rsidR="00617C37">
        <w:rPr>
          <w:rFonts w:asciiTheme="minorHAnsi" w:hAnsiTheme="minorHAnsi" w:cs="Times New Roman"/>
          <w:color w:val="auto"/>
          <w:sz w:val="20"/>
          <w:szCs w:val="20"/>
          <w:lang w:val="sr-Cyrl-BA"/>
        </w:rPr>
        <w:t xml:space="preserve">е </w:t>
      </w:r>
      <w:r w:rsidR="00585AD3">
        <w:rPr>
          <w:rFonts w:asciiTheme="minorHAnsi" w:hAnsiTheme="minorHAnsi" w:cs="Times New Roman"/>
          <w:color w:val="auto"/>
          <w:sz w:val="20"/>
          <w:szCs w:val="20"/>
          <w:lang w:val="sr-Cyrl-BA"/>
        </w:rPr>
        <w:t xml:space="preserve">122 </w:t>
      </w:r>
      <w:r w:rsidR="00617C37">
        <w:rPr>
          <w:rFonts w:asciiTheme="minorHAnsi" w:hAnsiTheme="minorHAnsi" w:cs="Times New Roman"/>
          <w:color w:val="auto"/>
          <w:sz w:val="20"/>
          <w:szCs w:val="20"/>
          <w:lang w:val="sr-Cyrl-BA"/>
        </w:rPr>
        <w:t>гаранције у износу од 14.881.000,02 КМ,</w:t>
      </w:r>
      <w:r w:rsidR="00585AD3">
        <w:rPr>
          <w:rFonts w:asciiTheme="minorHAnsi" w:hAnsiTheme="minorHAnsi" w:cs="Times New Roman"/>
          <w:color w:val="auto"/>
          <w:sz w:val="20"/>
          <w:szCs w:val="20"/>
          <w:lang w:val="sr-Cyrl-BA"/>
        </w:rPr>
        <w:t xml:space="preserve"> </w:t>
      </w:r>
      <w:r w:rsidR="00617C37">
        <w:rPr>
          <w:rFonts w:asciiTheme="minorHAnsi" w:hAnsiTheme="minorHAnsi" w:cs="Times New Roman"/>
          <w:color w:val="auto"/>
          <w:sz w:val="20"/>
          <w:szCs w:val="20"/>
          <w:lang w:val="sr-Cyrl-BA"/>
        </w:rPr>
        <w:t xml:space="preserve">чиме су подржани </w:t>
      </w:r>
      <w:r w:rsidR="00617C37" w:rsidRPr="005767EF">
        <w:rPr>
          <w:rFonts w:asciiTheme="minorHAnsi" w:hAnsiTheme="minorHAnsi" w:cs="Times New Roman"/>
          <w:color w:val="auto"/>
          <w:sz w:val="20"/>
          <w:szCs w:val="20"/>
          <w:lang w:val="sr-Cyrl-BA"/>
        </w:rPr>
        <w:t>пл</w:t>
      </w:r>
      <w:r w:rsidR="00617C37">
        <w:rPr>
          <w:rFonts w:asciiTheme="minorHAnsi" w:hAnsiTheme="minorHAnsi" w:cs="Times New Roman"/>
          <w:color w:val="auto"/>
          <w:sz w:val="20"/>
          <w:szCs w:val="20"/>
          <w:lang w:val="sr-Cyrl-BA"/>
        </w:rPr>
        <w:t xml:space="preserve">асмани финансијских посредника у износу од </w:t>
      </w:r>
      <w:r w:rsidR="00585AD3">
        <w:rPr>
          <w:rFonts w:asciiTheme="minorHAnsi" w:hAnsiTheme="minorHAnsi" w:cs="Times New Roman"/>
          <w:color w:val="auto"/>
          <w:sz w:val="20"/>
          <w:szCs w:val="20"/>
          <w:lang w:val="sr-Cyrl-BA"/>
        </w:rPr>
        <w:t>29.762.000,00 КМ</w:t>
      </w:r>
      <w:r w:rsidR="00617C37">
        <w:rPr>
          <w:rFonts w:asciiTheme="minorHAnsi" w:hAnsiTheme="minorHAnsi" w:cs="Times New Roman"/>
          <w:color w:val="auto"/>
          <w:sz w:val="20"/>
          <w:szCs w:val="20"/>
          <w:lang w:val="sr-Cyrl-BA"/>
        </w:rPr>
        <w:t>.</w:t>
      </w:r>
      <w:r>
        <w:rPr>
          <w:rFonts w:asciiTheme="minorHAnsi" w:hAnsiTheme="minorHAnsi" w:cs="Times New Roman"/>
          <w:color w:val="auto"/>
          <w:sz w:val="20"/>
          <w:szCs w:val="20"/>
          <w:lang w:val="sr-Cyrl-BA"/>
        </w:rPr>
        <w:t xml:space="preserve"> Стопа реализације уговореног износа током 2023. године је 22,04%.</w:t>
      </w:r>
    </w:p>
    <w:p w14:paraId="6BB66736" w14:textId="77777777" w:rsidR="0073303C" w:rsidRDefault="0073303C" w:rsidP="00585AD3">
      <w:pPr>
        <w:pStyle w:val="Default"/>
        <w:jc w:val="both"/>
        <w:rPr>
          <w:rFonts w:asciiTheme="minorHAnsi" w:hAnsiTheme="minorHAnsi" w:cs="Times New Roman"/>
          <w:color w:val="auto"/>
          <w:sz w:val="20"/>
          <w:szCs w:val="20"/>
          <w:lang w:val="sr-Cyrl-BA"/>
        </w:rPr>
      </w:pPr>
    </w:p>
    <w:p w14:paraId="4FA2654C" w14:textId="77777777" w:rsidR="00210D8B" w:rsidRDefault="00585AD3"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Највећу активност током 2023. године је имала PROCREDIT банка</w:t>
      </w:r>
      <w:r w:rsidR="00617C37">
        <w:rPr>
          <w:rFonts w:asciiTheme="minorHAnsi" w:hAnsiTheme="minorHAnsi" w:cs="Times New Roman"/>
          <w:color w:val="auto"/>
          <w:sz w:val="20"/>
          <w:szCs w:val="20"/>
          <w:lang w:val="sr-Cyrl-BA"/>
        </w:rPr>
        <w:t>, која је пласирала</w:t>
      </w:r>
      <w:r>
        <w:rPr>
          <w:rFonts w:asciiTheme="minorHAnsi" w:hAnsiTheme="minorHAnsi" w:cs="Times New Roman"/>
          <w:color w:val="auto"/>
          <w:sz w:val="20"/>
          <w:szCs w:val="20"/>
          <w:lang w:val="sr-Cyrl-BA"/>
        </w:rPr>
        <w:t xml:space="preserve"> 91 кредит у износу од 25.234.000,03 КМ, уз гаранци</w:t>
      </w:r>
      <w:r w:rsidR="00210D8B">
        <w:rPr>
          <w:rFonts w:asciiTheme="minorHAnsi" w:hAnsiTheme="minorHAnsi" w:cs="Times New Roman"/>
          <w:color w:val="auto"/>
          <w:sz w:val="20"/>
          <w:szCs w:val="20"/>
          <w:lang w:val="sr-Cyrl-BA"/>
        </w:rPr>
        <w:t xml:space="preserve">је у износу од 12.617.000,00 КМ. У оквиру општег портфеља је пласирано 85 кредита у износу од 22.059.000,01 КМ, док је у оквиру портфеља за обновљиве изворе енергије пласирано 6 кредита у износу од 3.175.000,02 КМ. </w:t>
      </w:r>
      <w:r w:rsidR="00617C37">
        <w:rPr>
          <w:rFonts w:asciiTheme="minorHAnsi" w:hAnsiTheme="minorHAnsi" w:cs="Times New Roman"/>
          <w:color w:val="auto"/>
          <w:sz w:val="20"/>
          <w:szCs w:val="20"/>
          <w:lang w:val="sr-Cyrl-BA"/>
        </w:rPr>
        <w:t>Учешће ове банке у</w:t>
      </w:r>
      <w:r w:rsidR="00210D8B">
        <w:rPr>
          <w:rFonts w:asciiTheme="minorHAnsi" w:hAnsiTheme="minorHAnsi" w:cs="Times New Roman"/>
          <w:color w:val="auto"/>
          <w:sz w:val="20"/>
          <w:szCs w:val="20"/>
          <w:lang w:val="sr-Cyrl-BA"/>
        </w:rPr>
        <w:t xml:space="preserve"> укупно</w:t>
      </w:r>
      <w:r w:rsidR="00617C37">
        <w:rPr>
          <w:rFonts w:asciiTheme="minorHAnsi" w:hAnsiTheme="minorHAnsi" w:cs="Times New Roman"/>
          <w:color w:val="auto"/>
          <w:sz w:val="20"/>
          <w:szCs w:val="20"/>
          <w:lang w:val="sr-Cyrl-BA"/>
        </w:rPr>
        <w:t xml:space="preserve"> изданим гара</w:t>
      </w:r>
      <w:r w:rsidR="00D24503">
        <w:rPr>
          <w:rFonts w:asciiTheme="minorHAnsi" w:hAnsiTheme="minorHAnsi" w:cs="Times New Roman"/>
          <w:color w:val="auto"/>
          <w:sz w:val="20"/>
          <w:szCs w:val="20"/>
          <w:lang w:val="sr-Cyrl-BA"/>
        </w:rPr>
        <w:t>н</w:t>
      </w:r>
      <w:r w:rsidR="00617C37">
        <w:rPr>
          <w:rFonts w:asciiTheme="minorHAnsi" w:hAnsiTheme="minorHAnsi" w:cs="Times New Roman"/>
          <w:color w:val="auto"/>
          <w:sz w:val="20"/>
          <w:szCs w:val="20"/>
          <w:lang w:val="sr-Cyrl-BA"/>
        </w:rPr>
        <w:t>ц</w:t>
      </w:r>
      <w:r w:rsidR="00D24503">
        <w:rPr>
          <w:rFonts w:asciiTheme="minorHAnsi" w:hAnsiTheme="minorHAnsi" w:cs="Times New Roman"/>
          <w:color w:val="auto"/>
          <w:sz w:val="20"/>
          <w:szCs w:val="20"/>
          <w:lang w:val="sr-Cyrl-BA"/>
        </w:rPr>
        <w:t xml:space="preserve">ијама </w:t>
      </w:r>
      <w:r w:rsidR="00617C37">
        <w:rPr>
          <w:rFonts w:asciiTheme="minorHAnsi" w:hAnsiTheme="minorHAnsi" w:cs="Times New Roman"/>
          <w:color w:val="auto"/>
          <w:sz w:val="20"/>
          <w:szCs w:val="20"/>
          <w:lang w:val="sr-Cyrl-BA"/>
        </w:rPr>
        <w:t xml:space="preserve">у оквиру кредитног портфеља </w:t>
      </w:r>
      <w:r w:rsidR="00D24503">
        <w:rPr>
          <w:rFonts w:asciiTheme="minorHAnsi" w:hAnsiTheme="minorHAnsi" w:cs="Times New Roman"/>
          <w:color w:val="auto"/>
          <w:sz w:val="20"/>
          <w:szCs w:val="20"/>
          <w:lang w:val="sr-Cyrl-BA"/>
        </w:rPr>
        <w:t xml:space="preserve">током 2023. године је 84,79%. </w:t>
      </w:r>
    </w:p>
    <w:p w14:paraId="2414F6FE" w14:textId="77777777" w:rsidR="00210D8B" w:rsidRDefault="00210D8B" w:rsidP="00585AD3">
      <w:pPr>
        <w:pStyle w:val="Default"/>
        <w:jc w:val="both"/>
        <w:rPr>
          <w:rFonts w:asciiTheme="minorHAnsi" w:hAnsiTheme="minorHAnsi" w:cs="Times New Roman"/>
          <w:color w:val="auto"/>
          <w:sz w:val="20"/>
          <w:szCs w:val="20"/>
          <w:lang w:val="sr-Cyrl-BA"/>
        </w:rPr>
      </w:pPr>
    </w:p>
    <w:p w14:paraId="535434B5" w14:textId="77777777" w:rsidR="00210D8B" w:rsidRDefault="00D24503"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МФ банка и </w:t>
      </w:r>
      <w:r w:rsidRPr="00D24503">
        <w:rPr>
          <w:rFonts w:asciiTheme="minorHAnsi" w:hAnsiTheme="minorHAnsi" w:cs="Times New Roman"/>
          <w:color w:val="auto"/>
          <w:sz w:val="20"/>
          <w:szCs w:val="20"/>
          <w:lang w:val="sr-Cyrl-BA"/>
        </w:rPr>
        <w:t xml:space="preserve">UNICREDIT </w:t>
      </w:r>
      <w:r>
        <w:rPr>
          <w:rFonts w:asciiTheme="minorHAnsi" w:hAnsiTheme="minorHAnsi" w:cs="Times New Roman"/>
          <w:color w:val="auto"/>
          <w:sz w:val="20"/>
          <w:szCs w:val="20"/>
          <w:lang w:val="sr-Cyrl-BA"/>
        </w:rPr>
        <w:t>банка су имале учешће од 7,21%, одн</w:t>
      </w:r>
      <w:r w:rsidR="00617C37">
        <w:rPr>
          <w:rFonts w:asciiTheme="minorHAnsi" w:hAnsiTheme="minorHAnsi" w:cs="Times New Roman"/>
          <w:color w:val="auto"/>
          <w:sz w:val="20"/>
          <w:szCs w:val="20"/>
          <w:lang w:val="sr-Cyrl-BA"/>
        </w:rPr>
        <w:t>осно 8,01%</w:t>
      </w:r>
      <w:r w:rsidR="00210D8B">
        <w:rPr>
          <w:rFonts w:asciiTheme="minorHAnsi" w:hAnsiTheme="minorHAnsi" w:cs="Times New Roman"/>
          <w:color w:val="auto"/>
          <w:sz w:val="20"/>
          <w:szCs w:val="20"/>
          <w:lang w:val="sr-Cyrl-BA"/>
        </w:rPr>
        <w:t xml:space="preserve"> у укупно пласираним средствима током 2023. године</w:t>
      </w:r>
      <w:r w:rsidR="00617C37">
        <w:rPr>
          <w:rFonts w:asciiTheme="minorHAnsi" w:hAnsiTheme="minorHAnsi" w:cs="Times New Roman"/>
          <w:color w:val="auto"/>
          <w:sz w:val="20"/>
          <w:szCs w:val="20"/>
          <w:lang w:val="sr-Cyrl-BA"/>
        </w:rPr>
        <w:t>.</w:t>
      </w:r>
      <w:r>
        <w:rPr>
          <w:rFonts w:asciiTheme="minorHAnsi" w:hAnsiTheme="minorHAnsi" w:cs="Times New Roman"/>
          <w:color w:val="auto"/>
          <w:sz w:val="20"/>
          <w:szCs w:val="20"/>
          <w:lang w:val="sr-Cyrl-BA"/>
        </w:rPr>
        <w:t xml:space="preserve"> </w:t>
      </w:r>
      <w:r w:rsidR="00BE6F42">
        <w:rPr>
          <w:rFonts w:asciiTheme="minorHAnsi" w:hAnsiTheme="minorHAnsi" w:cs="Times New Roman"/>
          <w:color w:val="auto"/>
          <w:sz w:val="20"/>
          <w:szCs w:val="20"/>
          <w:lang w:val="sr-Cyrl-BA"/>
        </w:rPr>
        <w:t>МФ</w:t>
      </w:r>
      <w:r w:rsidR="00210D8B">
        <w:rPr>
          <w:rFonts w:asciiTheme="minorHAnsi" w:hAnsiTheme="minorHAnsi" w:cs="Times New Roman"/>
          <w:color w:val="auto"/>
          <w:sz w:val="20"/>
          <w:szCs w:val="20"/>
          <w:lang w:val="sr-Cyrl-BA"/>
        </w:rPr>
        <w:t xml:space="preserve"> банка је пласирала 18 кредита у износу од 2.145.000,00 КМ, док је </w:t>
      </w:r>
      <w:r w:rsidR="00210D8B" w:rsidRPr="00210D8B">
        <w:rPr>
          <w:rFonts w:asciiTheme="minorHAnsi" w:hAnsiTheme="minorHAnsi" w:cs="Times New Roman"/>
          <w:color w:val="auto"/>
          <w:sz w:val="20"/>
          <w:szCs w:val="20"/>
          <w:lang w:val="sr-Cyrl-BA"/>
        </w:rPr>
        <w:t>UNICREDIT</w:t>
      </w:r>
      <w:r w:rsidR="00210D8B">
        <w:rPr>
          <w:rFonts w:asciiTheme="minorHAnsi" w:hAnsiTheme="minorHAnsi" w:cs="Times New Roman"/>
          <w:color w:val="auto"/>
          <w:sz w:val="20"/>
          <w:szCs w:val="20"/>
          <w:lang w:val="sr-Cyrl-BA"/>
        </w:rPr>
        <w:t xml:space="preserve"> банка пласирала 13 кредита укупног износа 2.383.000,00 КМ. Ни једна ни друга банка нису имале кредитну активност у оквиру портфеља за енергетску ефикасност. </w:t>
      </w:r>
    </w:p>
    <w:p w14:paraId="6076D3B3" w14:textId="77777777" w:rsidR="00210D8B" w:rsidRDefault="00210D8B" w:rsidP="00585AD3">
      <w:pPr>
        <w:pStyle w:val="Default"/>
        <w:jc w:val="both"/>
        <w:rPr>
          <w:rFonts w:asciiTheme="minorHAnsi" w:hAnsiTheme="minorHAnsi" w:cs="Times New Roman"/>
          <w:color w:val="auto"/>
          <w:sz w:val="20"/>
          <w:szCs w:val="20"/>
          <w:lang w:val="sr-Cyrl-BA"/>
        </w:rPr>
      </w:pPr>
    </w:p>
    <w:p w14:paraId="49A472F6" w14:textId="77777777" w:rsidR="00B769DD" w:rsidRDefault="00D24503" w:rsidP="00585AD3">
      <w:pPr>
        <w:pStyle w:val="Default"/>
        <w:jc w:val="both"/>
        <w:rPr>
          <w:rFonts w:asciiTheme="minorHAnsi" w:hAnsiTheme="minorHAnsi" w:cs="Times New Roman"/>
          <w:color w:val="auto"/>
          <w:sz w:val="20"/>
          <w:szCs w:val="20"/>
          <w:lang w:val="sr-Cyrl-BA"/>
        </w:rPr>
      </w:pPr>
      <w:r w:rsidRPr="00D24503">
        <w:rPr>
          <w:rFonts w:asciiTheme="minorHAnsi" w:hAnsiTheme="minorHAnsi" w:cs="Times New Roman"/>
          <w:color w:val="auto"/>
          <w:sz w:val="20"/>
          <w:szCs w:val="20"/>
          <w:lang w:val="sr-Cyrl-BA"/>
        </w:rPr>
        <w:t>SPARKASSE</w:t>
      </w:r>
      <w:r>
        <w:rPr>
          <w:rFonts w:asciiTheme="minorHAnsi" w:hAnsiTheme="minorHAnsi" w:cs="Times New Roman"/>
          <w:color w:val="auto"/>
          <w:sz w:val="20"/>
          <w:szCs w:val="20"/>
          <w:lang w:val="sr-Cyrl-BA"/>
        </w:rPr>
        <w:t xml:space="preserve"> банка није имала пласмане </w:t>
      </w:r>
      <w:r w:rsidR="00034C61">
        <w:rPr>
          <w:rFonts w:asciiTheme="minorHAnsi" w:hAnsiTheme="minorHAnsi" w:cs="Times New Roman"/>
          <w:color w:val="auto"/>
          <w:sz w:val="20"/>
          <w:szCs w:val="20"/>
          <w:lang w:val="sr-Cyrl-BA"/>
        </w:rPr>
        <w:t>током године</w:t>
      </w:r>
      <w:r>
        <w:rPr>
          <w:rFonts w:asciiTheme="minorHAnsi" w:hAnsiTheme="minorHAnsi" w:cs="Times New Roman"/>
          <w:color w:val="auto"/>
          <w:sz w:val="20"/>
          <w:szCs w:val="20"/>
          <w:lang w:val="sr-Cyrl-BA"/>
        </w:rPr>
        <w:t>, што је и очекивано, с обзиром да је уговор о гаранто</w:t>
      </w:r>
      <w:r w:rsidR="00034C61">
        <w:rPr>
          <w:rFonts w:asciiTheme="minorHAnsi" w:hAnsiTheme="minorHAnsi" w:cs="Times New Roman"/>
          <w:color w:val="auto"/>
          <w:sz w:val="20"/>
          <w:szCs w:val="20"/>
          <w:lang w:val="sr-Cyrl-BA"/>
        </w:rPr>
        <w:t xml:space="preserve">вању потписан </w:t>
      </w:r>
      <w:r w:rsidR="00CC181D">
        <w:rPr>
          <w:rFonts w:asciiTheme="minorHAnsi" w:hAnsiTheme="minorHAnsi" w:cs="Times New Roman"/>
          <w:color w:val="auto"/>
          <w:sz w:val="20"/>
          <w:szCs w:val="20"/>
          <w:lang w:val="sr-Cyrl-BA"/>
        </w:rPr>
        <w:t xml:space="preserve">у десетом мјесецу </w:t>
      </w:r>
      <w:r w:rsidR="00034C61">
        <w:rPr>
          <w:rFonts w:asciiTheme="minorHAnsi" w:hAnsiTheme="minorHAnsi" w:cs="Times New Roman"/>
          <w:color w:val="auto"/>
          <w:sz w:val="20"/>
          <w:szCs w:val="20"/>
          <w:lang w:val="sr-Cyrl-BA"/>
        </w:rPr>
        <w:t>2023</w:t>
      </w:r>
      <w:r>
        <w:rPr>
          <w:rFonts w:asciiTheme="minorHAnsi" w:hAnsiTheme="minorHAnsi" w:cs="Times New Roman"/>
          <w:color w:val="auto"/>
          <w:sz w:val="20"/>
          <w:szCs w:val="20"/>
          <w:lang w:val="sr-Cyrl-BA"/>
        </w:rPr>
        <w:t>.</w:t>
      </w:r>
      <w:r w:rsidR="00CC181D">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 </w:t>
      </w:r>
      <w:r w:rsidR="00CC181D">
        <w:rPr>
          <w:rFonts w:asciiTheme="minorHAnsi" w:hAnsiTheme="minorHAnsi" w:cs="Times New Roman"/>
          <w:color w:val="auto"/>
          <w:sz w:val="20"/>
          <w:szCs w:val="20"/>
          <w:lang w:val="sr-Cyrl-BA"/>
        </w:rPr>
        <w:t>године.</w:t>
      </w:r>
    </w:p>
    <w:p w14:paraId="44DB27A6" w14:textId="77777777" w:rsidR="009342FB" w:rsidRPr="005767EF" w:rsidRDefault="009342FB" w:rsidP="009342FB">
      <w:pPr>
        <w:pStyle w:val="Default"/>
        <w:jc w:val="both"/>
        <w:rPr>
          <w:rFonts w:asciiTheme="minorHAnsi" w:hAnsiTheme="minorHAnsi" w:cs="Times New Roman"/>
          <w:color w:val="auto"/>
          <w:sz w:val="20"/>
          <w:szCs w:val="20"/>
          <w:lang w:val="sr-Cyrl-BA"/>
        </w:rPr>
      </w:pPr>
    </w:p>
    <w:p w14:paraId="268CF4CE" w14:textId="77777777" w:rsidR="001538EF" w:rsidRPr="005767EF" w:rsidRDefault="001538EF" w:rsidP="001538EF">
      <w:pPr>
        <w:jc w:val="center"/>
        <w:rPr>
          <w:rFonts w:asciiTheme="minorHAnsi" w:hAnsiTheme="minorHAnsi"/>
          <w:sz w:val="20"/>
          <w:szCs w:val="20"/>
        </w:rPr>
      </w:pPr>
      <w:r w:rsidRPr="005767EF">
        <w:rPr>
          <w:rFonts w:asciiTheme="minorHAnsi" w:hAnsiTheme="minorHAnsi"/>
          <w:b/>
          <w:bCs/>
          <w:sz w:val="20"/>
          <w:szCs w:val="20"/>
          <w:lang w:val="sr-Latn-RS" w:eastAsia="sr-Latn-RS"/>
        </w:rPr>
        <w:t xml:space="preserve">Преглед изданих гаранција </w:t>
      </w:r>
      <w:r w:rsidR="000704FD">
        <w:rPr>
          <w:rFonts w:asciiTheme="minorHAnsi" w:hAnsiTheme="minorHAnsi"/>
          <w:b/>
          <w:bCs/>
          <w:sz w:val="20"/>
          <w:szCs w:val="20"/>
          <w:lang w:val="sr-Cyrl-RS" w:eastAsia="sr-Latn-RS"/>
        </w:rPr>
        <w:t xml:space="preserve">у оквиру кредитног портфеља </w:t>
      </w:r>
      <w:r w:rsidRPr="005767EF">
        <w:rPr>
          <w:rFonts w:asciiTheme="minorHAnsi" w:hAnsiTheme="minorHAnsi"/>
          <w:b/>
          <w:bCs/>
          <w:sz w:val="20"/>
          <w:szCs w:val="20"/>
          <w:lang w:val="sr-Latn-RS" w:eastAsia="sr-Latn-RS"/>
        </w:rPr>
        <w:t xml:space="preserve">по дјелатностима  </w:t>
      </w:r>
      <w:r w:rsidR="000704FD">
        <w:rPr>
          <w:rFonts w:asciiTheme="minorHAnsi" w:hAnsiTheme="minorHAnsi"/>
          <w:b/>
          <w:bCs/>
          <w:sz w:val="20"/>
          <w:szCs w:val="20"/>
          <w:lang w:val="sr-Cyrl-RS" w:eastAsia="sr-Latn-RS"/>
        </w:rPr>
        <w:t xml:space="preserve">у </w:t>
      </w:r>
      <w:r w:rsidRPr="005767EF">
        <w:rPr>
          <w:rFonts w:asciiTheme="minorHAnsi" w:hAnsiTheme="minorHAnsi"/>
          <w:b/>
          <w:bCs/>
          <w:sz w:val="20"/>
          <w:szCs w:val="20"/>
          <w:lang w:val="sr-Latn-RS" w:eastAsia="sr-Latn-RS"/>
        </w:rPr>
        <w:t>период</w:t>
      </w:r>
      <w:r w:rsidR="000704FD">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01.01.202</w:t>
      </w:r>
      <w:r w:rsidR="009342FB">
        <w:rPr>
          <w:rFonts w:asciiTheme="minorHAnsi" w:hAnsiTheme="minorHAnsi"/>
          <w:b/>
          <w:bCs/>
          <w:sz w:val="20"/>
          <w:szCs w:val="20"/>
          <w:lang w:val="sr-Cyrl-RS" w:eastAsia="sr-Latn-RS"/>
        </w:rPr>
        <w:t>3</w:t>
      </w:r>
      <w:r w:rsidRPr="005767EF">
        <w:rPr>
          <w:rFonts w:asciiTheme="minorHAnsi" w:hAnsiTheme="minorHAnsi"/>
          <w:b/>
          <w:bCs/>
          <w:sz w:val="20"/>
          <w:szCs w:val="20"/>
          <w:lang w:val="sr-Latn-RS" w:eastAsia="sr-Latn-RS"/>
        </w:rPr>
        <w:t>. - 31.12.202</w:t>
      </w:r>
      <w:r w:rsidR="009342FB">
        <w:rPr>
          <w:rFonts w:asciiTheme="minorHAnsi" w:hAnsiTheme="minorHAnsi"/>
          <w:b/>
          <w:bCs/>
          <w:sz w:val="20"/>
          <w:szCs w:val="20"/>
          <w:lang w:val="sr-Cyrl-RS" w:eastAsia="sr-Latn-RS"/>
        </w:rPr>
        <w:t>3</w:t>
      </w:r>
      <w:r w:rsidRPr="005767EF">
        <w:rPr>
          <w:rFonts w:asciiTheme="minorHAnsi" w:hAnsiTheme="minorHAnsi"/>
          <w:b/>
          <w:bCs/>
          <w:sz w:val="20"/>
          <w:szCs w:val="20"/>
          <w:lang w:val="sr-Latn-RS" w:eastAsia="sr-Latn-RS"/>
        </w:rPr>
        <w:t>. године</w:t>
      </w:r>
    </w:p>
    <w:p w14:paraId="08985316" w14:textId="77777777" w:rsidR="001538EF" w:rsidRPr="009342FB" w:rsidRDefault="001538EF" w:rsidP="009342FB">
      <w:pPr>
        <w:jc w:val="left"/>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 xml:space="preserve">                                                                                                                             </w:t>
      </w:r>
      <w:r w:rsidR="009342FB">
        <w:rPr>
          <w:rFonts w:asciiTheme="minorHAnsi" w:hAnsiTheme="minorHAnsi"/>
          <w:b/>
          <w:bCs/>
          <w:sz w:val="20"/>
          <w:szCs w:val="20"/>
          <w:lang w:val="sr-Latn-RS" w:eastAsia="sr-Latn-RS"/>
        </w:rPr>
        <w:t xml:space="preserve">                              </w:t>
      </w:r>
    </w:p>
    <w:p w14:paraId="56B83B12" w14:textId="77777777" w:rsidR="001538EF" w:rsidRPr="009342FB" w:rsidRDefault="001538EF" w:rsidP="009342FB">
      <w:pPr>
        <w:pStyle w:val="Default"/>
        <w:ind w:left="1416" w:hanging="1416"/>
        <w:jc w:val="both"/>
        <w:rPr>
          <w:rFonts w:asciiTheme="minorHAnsi" w:hAnsiTheme="minorHAnsi" w:cs="Times New Roman"/>
          <w:b/>
          <w:color w:val="auto"/>
          <w:sz w:val="20"/>
          <w:szCs w:val="20"/>
          <w:lang w:val="sr-Cyrl-BA"/>
        </w:rPr>
      </w:pP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t xml:space="preserve">       </w:t>
      </w:r>
      <w:r w:rsidR="009342FB">
        <w:rPr>
          <w:rFonts w:asciiTheme="minorHAnsi" w:hAnsiTheme="minorHAnsi" w:cs="Times New Roman"/>
          <w:color w:val="auto"/>
          <w:sz w:val="20"/>
          <w:szCs w:val="20"/>
          <w:lang w:val="sr-Cyrl-BA"/>
        </w:rPr>
        <w:t xml:space="preserve">          </w:t>
      </w:r>
      <w:r w:rsidRPr="005767EF">
        <w:rPr>
          <w:rFonts w:asciiTheme="minorHAnsi" w:hAnsiTheme="minorHAnsi" w:cs="Times New Roman"/>
          <w:color w:val="auto"/>
          <w:sz w:val="20"/>
          <w:szCs w:val="20"/>
          <w:lang w:val="sr-Cyrl-BA"/>
        </w:rPr>
        <w:t xml:space="preserve"> </w:t>
      </w:r>
      <w:r w:rsidR="009342FB">
        <w:rPr>
          <w:rFonts w:asciiTheme="minorHAnsi" w:hAnsiTheme="minorHAnsi" w:cs="Times New Roman"/>
          <w:b/>
          <w:color w:val="auto"/>
          <w:sz w:val="20"/>
          <w:szCs w:val="20"/>
          <w:lang w:val="sr-Cyrl-BA"/>
        </w:rPr>
        <w:t>Табела 1</w:t>
      </w:r>
      <w:r w:rsidR="00A944C8">
        <w:rPr>
          <w:rFonts w:asciiTheme="minorHAnsi" w:hAnsiTheme="minorHAnsi" w:cs="Times New Roman"/>
          <w:b/>
          <w:color w:val="auto"/>
          <w:sz w:val="20"/>
          <w:szCs w:val="20"/>
          <w:lang w:val="sr-Cyrl-BA"/>
        </w:rPr>
        <w:t>0</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
        <w:gridCol w:w="3784"/>
        <w:gridCol w:w="933"/>
        <w:gridCol w:w="1494"/>
        <w:gridCol w:w="1300"/>
        <w:gridCol w:w="1276"/>
      </w:tblGrid>
      <w:tr w:rsidR="00D77E84" w:rsidRPr="005767EF" w14:paraId="60C3FEF9" w14:textId="77777777" w:rsidTr="008A3C49">
        <w:trPr>
          <w:gridBefore w:val="1"/>
          <w:wBefore w:w="17" w:type="dxa"/>
          <w:trHeight w:val="822"/>
        </w:trPr>
        <w:tc>
          <w:tcPr>
            <w:tcW w:w="3784" w:type="dxa"/>
            <w:shd w:val="clear" w:color="auto" w:fill="548DD4" w:themeFill="text2" w:themeFillTint="99"/>
            <w:vAlign w:val="center"/>
            <w:hideMark/>
          </w:tcPr>
          <w:p w14:paraId="74BF17B3" w14:textId="77777777"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val="sr-Latn-RS" w:eastAsia="sr-Latn-RS"/>
              </w:rPr>
              <w:t>Дјелатност</w:t>
            </w:r>
          </w:p>
        </w:tc>
        <w:tc>
          <w:tcPr>
            <w:tcW w:w="933" w:type="dxa"/>
            <w:shd w:val="clear" w:color="auto" w:fill="548DD4" w:themeFill="text2" w:themeFillTint="99"/>
            <w:vAlign w:val="center"/>
            <w:hideMark/>
          </w:tcPr>
          <w:p w14:paraId="61FD1906" w14:textId="77777777"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val="sr-Latn-RS" w:eastAsia="sr-Latn-RS"/>
              </w:rPr>
              <w:t xml:space="preserve">Број </w:t>
            </w:r>
            <w:r w:rsidRPr="00B414B5">
              <w:rPr>
                <w:rFonts w:asciiTheme="minorHAnsi" w:hAnsiTheme="minorHAnsi"/>
                <w:b/>
                <w:sz w:val="18"/>
                <w:szCs w:val="18"/>
                <w:lang w:val="sr-Cyrl-BA" w:eastAsia="sr-Latn-RS"/>
              </w:rPr>
              <w:t>кредита</w:t>
            </w:r>
          </w:p>
        </w:tc>
        <w:tc>
          <w:tcPr>
            <w:tcW w:w="1494" w:type="dxa"/>
            <w:shd w:val="clear" w:color="auto" w:fill="548DD4" w:themeFill="text2" w:themeFillTint="99"/>
            <w:vAlign w:val="center"/>
            <w:hideMark/>
          </w:tcPr>
          <w:p w14:paraId="45B5E3B4" w14:textId="77777777"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val="sr-Latn-RS" w:eastAsia="sr-Latn-RS"/>
              </w:rPr>
              <w:t>Пласирана средства</w:t>
            </w:r>
          </w:p>
        </w:tc>
        <w:tc>
          <w:tcPr>
            <w:tcW w:w="1300" w:type="dxa"/>
            <w:shd w:val="clear" w:color="auto" w:fill="548DD4" w:themeFill="text2" w:themeFillTint="99"/>
            <w:vAlign w:val="center"/>
            <w:hideMark/>
          </w:tcPr>
          <w:p w14:paraId="6DED5923" w14:textId="77777777"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val="sr-Latn-RS" w:eastAsia="sr-Latn-RS"/>
              </w:rPr>
              <w:t>Износ гаранције</w:t>
            </w:r>
          </w:p>
        </w:tc>
        <w:tc>
          <w:tcPr>
            <w:tcW w:w="1276" w:type="dxa"/>
            <w:shd w:val="clear" w:color="auto" w:fill="548DD4" w:themeFill="text2" w:themeFillTint="99"/>
          </w:tcPr>
          <w:p w14:paraId="4581915F" w14:textId="77777777" w:rsidR="00D77E84" w:rsidRDefault="00D77E84" w:rsidP="001538EF">
            <w:pPr>
              <w:jc w:val="center"/>
              <w:rPr>
                <w:rFonts w:asciiTheme="minorHAnsi" w:hAnsiTheme="minorHAnsi"/>
                <w:b/>
                <w:sz w:val="18"/>
                <w:szCs w:val="18"/>
                <w:lang w:val="sr-Cyrl-RS" w:eastAsia="sr-Latn-RS"/>
              </w:rPr>
            </w:pPr>
          </w:p>
          <w:p w14:paraId="16B2B485" w14:textId="77777777" w:rsidR="00D77E84" w:rsidRPr="00D77E84" w:rsidRDefault="00D77E84" w:rsidP="001538EF">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Учешће у укупно изданим гаранцијама</w:t>
            </w:r>
          </w:p>
        </w:tc>
      </w:tr>
      <w:tr w:rsidR="00034E5A" w:rsidRPr="009342FB" w14:paraId="69C33B03" w14:textId="77777777" w:rsidTr="008A3C49">
        <w:trPr>
          <w:trHeight w:val="353"/>
        </w:trPr>
        <w:tc>
          <w:tcPr>
            <w:tcW w:w="3801" w:type="dxa"/>
            <w:gridSpan w:val="2"/>
            <w:shd w:val="clear" w:color="auto" w:fill="auto"/>
            <w:vAlign w:val="center"/>
            <w:hideMark/>
          </w:tcPr>
          <w:p w14:paraId="5A197A2F"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Прерађивачка индустрија</w:t>
            </w:r>
          </w:p>
        </w:tc>
        <w:tc>
          <w:tcPr>
            <w:tcW w:w="933" w:type="dxa"/>
            <w:shd w:val="clear" w:color="auto" w:fill="auto"/>
            <w:vAlign w:val="center"/>
            <w:hideMark/>
          </w:tcPr>
          <w:p w14:paraId="1E715436" w14:textId="77777777" w:rsidR="00034E5A" w:rsidRPr="009342FB" w:rsidRDefault="00034E5A" w:rsidP="0066469A">
            <w:pPr>
              <w:jc w:val="center"/>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4</w:t>
            </w:r>
            <w:r w:rsidRPr="00B414B5">
              <w:rPr>
                <w:rFonts w:asciiTheme="minorHAnsi" w:hAnsiTheme="minorHAnsi" w:cs="Microsoft Sans Serif"/>
                <w:bCs/>
                <w:color w:val="auto"/>
                <w:sz w:val="18"/>
                <w:szCs w:val="18"/>
                <w:lang w:val="sr-Cyrl-RS"/>
              </w:rPr>
              <w:t>9</w:t>
            </w:r>
          </w:p>
        </w:tc>
        <w:tc>
          <w:tcPr>
            <w:tcW w:w="1494" w:type="dxa"/>
            <w:shd w:val="clear" w:color="auto" w:fill="auto"/>
            <w:vAlign w:val="center"/>
            <w:hideMark/>
          </w:tcPr>
          <w:p w14:paraId="7CB86E1C" w14:textId="77777777" w:rsidR="00034E5A" w:rsidRPr="009342FB" w:rsidRDefault="00034E5A" w:rsidP="0066469A">
            <w:pPr>
              <w:jc w:val="right"/>
              <w:rPr>
                <w:rFonts w:asciiTheme="minorHAnsi" w:hAnsiTheme="minorHAnsi" w:cs="Microsoft Sans Serif"/>
                <w:bCs/>
                <w:color w:val="auto"/>
                <w:sz w:val="18"/>
                <w:szCs w:val="18"/>
                <w:lang w:val="sr-Cyrl-RS"/>
              </w:rPr>
            </w:pPr>
            <w:r w:rsidRPr="00B414B5">
              <w:rPr>
                <w:rFonts w:asciiTheme="minorHAnsi" w:hAnsiTheme="minorHAnsi" w:cs="Microsoft Sans Serif"/>
                <w:bCs/>
                <w:color w:val="auto"/>
                <w:sz w:val="18"/>
                <w:szCs w:val="18"/>
                <w:lang w:val="sr-Cyrl-RS"/>
              </w:rPr>
              <w:t>14.883.000,03</w:t>
            </w:r>
          </w:p>
        </w:tc>
        <w:tc>
          <w:tcPr>
            <w:tcW w:w="1300" w:type="dxa"/>
            <w:shd w:val="clear" w:color="auto" w:fill="auto"/>
            <w:vAlign w:val="center"/>
            <w:hideMark/>
          </w:tcPr>
          <w:p w14:paraId="4A6527D9" w14:textId="77777777" w:rsidR="00034E5A" w:rsidRPr="009342FB"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7.441.500,01</w:t>
            </w:r>
          </w:p>
        </w:tc>
        <w:tc>
          <w:tcPr>
            <w:tcW w:w="1276" w:type="dxa"/>
            <w:vAlign w:val="center"/>
          </w:tcPr>
          <w:p w14:paraId="25B69D74" w14:textId="77777777" w:rsidR="00034E5A" w:rsidRDefault="00034E5A">
            <w:pPr>
              <w:jc w:val="right"/>
              <w:rPr>
                <w:rFonts w:ascii="Calibri" w:hAnsi="Calibri" w:cs="Arial"/>
                <w:sz w:val="18"/>
                <w:szCs w:val="18"/>
              </w:rPr>
            </w:pPr>
            <w:r>
              <w:rPr>
                <w:rFonts w:ascii="Calibri" w:hAnsi="Calibri" w:cs="Arial"/>
                <w:sz w:val="18"/>
                <w:szCs w:val="18"/>
                <w:lang w:val="sr-Cyrl-RS"/>
              </w:rPr>
              <w:t>50,00%</w:t>
            </w:r>
          </w:p>
        </w:tc>
      </w:tr>
      <w:tr w:rsidR="00034E5A" w:rsidRPr="009342FB" w14:paraId="4F00DCA6" w14:textId="77777777" w:rsidTr="008A3C49">
        <w:trPr>
          <w:trHeight w:val="561"/>
        </w:trPr>
        <w:tc>
          <w:tcPr>
            <w:tcW w:w="3801" w:type="dxa"/>
            <w:gridSpan w:val="2"/>
            <w:shd w:val="clear" w:color="auto" w:fill="auto"/>
            <w:vAlign w:val="center"/>
            <w:hideMark/>
          </w:tcPr>
          <w:p w14:paraId="01BBD40F"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Трговина на велико и на мало; поправка моторних возила и мотоцикала</w:t>
            </w:r>
          </w:p>
        </w:tc>
        <w:tc>
          <w:tcPr>
            <w:tcW w:w="933" w:type="dxa"/>
            <w:shd w:val="clear" w:color="auto" w:fill="auto"/>
            <w:vAlign w:val="center"/>
            <w:hideMark/>
          </w:tcPr>
          <w:p w14:paraId="1DC3017E"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22</w:t>
            </w:r>
          </w:p>
        </w:tc>
        <w:tc>
          <w:tcPr>
            <w:tcW w:w="1494" w:type="dxa"/>
            <w:shd w:val="clear" w:color="auto" w:fill="auto"/>
            <w:vAlign w:val="center"/>
            <w:hideMark/>
          </w:tcPr>
          <w:p w14:paraId="5D1D0189"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4.415.000,00</w:t>
            </w:r>
          </w:p>
        </w:tc>
        <w:tc>
          <w:tcPr>
            <w:tcW w:w="1300" w:type="dxa"/>
            <w:shd w:val="clear" w:color="auto" w:fill="auto"/>
            <w:vAlign w:val="center"/>
            <w:hideMark/>
          </w:tcPr>
          <w:p w14:paraId="3CD0CF8B"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2.207.500,00</w:t>
            </w:r>
          </w:p>
        </w:tc>
        <w:tc>
          <w:tcPr>
            <w:tcW w:w="1276" w:type="dxa"/>
            <w:vAlign w:val="center"/>
          </w:tcPr>
          <w:p w14:paraId="31B6DB1E" w14:textId="77777777" w:rsidR="00034E5A" w:rsidRDefault="00034E5A">
            <w:pPr>
              <w:jc w:val="right"/>
              <w:rPr>
                <w:rFonts w:ascii="Calibri" w:hAnsi="Calibri" w:cs="Arial"/>
                <w:sz w:val="18"/>
                <w:szCs w:val="18"/>
              </w:rPr>
            </w:pPr>
            <w:r>
              <w:rPr>
                <w:rFonts w:ascii="Calibri" w:hAnsi="Calibri" w:cs="Arial"/>
                <w:sz w:val="18"/>
                <w:szCs w:val="18"/>
              </w:rPr>
              <w:t>14,83%</w:t>
            </w:r>
          </w:p>
        </w:tc>
      </w:tr>
      <w:tr w:rsidR="00034E5A" w:rsidRPr="009342FB" w14:paraId="7BB1730B" w14:textId="77777777" w:rsidTr="008A3C49">
        <w:trPr>
          <w:trHeight w:val="252"/>
        </w:trPr>
        <w:tc>
          <w:tcPr>
            <w:tcW w:w="3801" w:type="dxa"/>
            <w:gridSpan w:val="2"/>
            <w:shd w:val="clear" w:color="auto" w:fill="auto"/>
            <w:vAlign w:val="center"/>
          </w:tcPr>
          <w:p w14:paraId="6F1DA278"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Саобраћај и складиштење</w:t>
            </w:r>
          </w:p>
        </w:tc>
        <w:tc>
          <w:tcPr>
            <w:tcW w:w="933" w:type="dxa"/>
            <w:shd w:val="clear" w:color="auto" w:fill="auto"/>
            <w:vAlign w:val="center"/>
          </w:tcPr>
          <w:p w14:paraId="5EEED173" w14:textId="77777777" w:rsidR="00034E5A" w:rsidRPr="009342FB" w:rsidRDefault="00034E5A" w:rsidP="0066469A">
            <w:pPr>
              <w:jc w:val="center"/>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1</w:t>
            </w:r>
            <w:r w:rsidRPr="00B414B5">
              <w:rPr>
                <w:rFonts w:asciiTheme="minorHAnsi" w:hAnsiTheme="minorHAnsi" w:cs="Microsoft Sans Serif"/>
                <w:bCs/>
                <w:color w:val="auto"/>
                <w:sz w:val="18"/>
                <w:szCs w:val="18"/>
                <w:lang w:val="sr-Cyrl-RS"/>
              </w:rPr>
              <w:t>8</w:t>
            </w:r>
          </w:p>
        </w:tc>
        <w:tc>
          <w:tcPr>
            <w:tcW w:w="1494" w:type="dxa"/>
            <w:shd w:val="clear" w:color="auto" w:fill="auto"/>
            <w:vAlign w:val="center"/>
          </w:tcPr>
          <w:p w14:paraId="0AE60C5C" w14:textId="77777777" w:rsidR="00034E5A" w:rsidRPr="009342FB" w:rsidRDefault="00034E5A" w:rsidP="0066469A">
            <w:pPr>
              <w:jc w:val="right"/>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2.</w:t>
            </w:r>
            <w:r w:rsidRPr="00B414B5">
              <w:rPr>
                <w:rFonts w:asciiTheme="minorHAnsi" w:hAnsiTheme="minorHAnsi" w:cs="Microsoft Sans Serif"/>
                <w:bCs/>
                <w:color w:val="auto"/>
                <w:sz w:val="18"/>
                <w:szCs w:val="18"/>
                <w:lang w:val="sr-Cyrl-RS"/>
              </w:rPr>
              <w:t>87</w:t>
            </w:r>
            <w:r w:rsidRPr="009342FB">
              <w:rPr>
                <w:rFonts w:asciiTheme="minorHAnsi" w:hAnsiTheme="minorHAnsi" w:cs="Microsoft Sans Serif"/>
                <w:bCs/>
                <w:color w:val="auto"/>
                <w:sz w:val="18"/>
                <w:szCs w:val="18"/>
              </w:rPr>
              <w:t>4.999,99</w:t>
            </w:r>
          </w:p>
        </w:tc>
        <w:tc>
          <w:tcPr>
            <w:tcW w:w="1300" w:type="dxa"/>
            <w:shd w:val="clear" w:color="auto" w:fill="auto"/>
            <w:vAlign w:val="center"/>
          </w:tcPr>
          <w:p w14:paraId="3674E842" w14:textId="77777777" w:rsidR="00034E5A" w:rsidRPr="009342FB" w:rsidRDefault="00034E5A" w:rsidP="0066469A">
            <w:pPr>
              <w:jc w:val="right"/>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1.</w:t>
            </w:r>
            <w:r w:rsidRPr="00B414B5">
              <w:rPr>
                <w:rFonts w:asciiTheme="minorHAnsi" w:hAnsiTheme="minorHAnsi" w:cs="Microsoft Sans Serif"/>
                <w:bCs/>
                <w:color w:val="auto"/>
                <w:sz w:val="18"/>
                <w:szCs w:val="18"/>
                <w:lang w:val="sr-Cyrl-RS"/>
              </w:rPr>
              <w:t>437</w:t>
            </w:r>
            <w:r w:rsidRPr="009342FB">
              <w:rPr>
                <w:rFonts w:asciiTheme="minorHAnsi" w:hAnsiTheme="minorHAnsi" w:cs="Microsoft Sans Serif"/>
                <w:bCs/>
                <w:color w:val="auto"/>
                <w:sz w:val="18"/>
                <w:szCs w:val="18"/>
              </w:rPr>
              <w:t>.500,00</w:t>
            </w:r>
          </w:p>
        </w:tc>
        <w:tc>
          <w:tcPr>
            <w:tcW w:w="1276" w:type="dxa"/>
            <w:vAlign w:val="center"/>
          </w:tcPr>
          <w:p w14:paraId="3DFF06B7" w14:textId="77777777" w:rsidR="00034E5A" w:rsidRDefault="00034E5A">
            <w:pPr>
              <w:jc w:val="right"/>
              <w:rPr>
                <w:rFonts w:ascii="Calibri" w:hAnsi="Calibri" w:cs="Arial"/>
                <w:sz w:val="18"/>
                <w:szCs w:val="18"/>
              </w:rPr>
            </w:pPr>
            <w:r>
              <w:rPr>
                <w:rFonts w:ascii="Calibri" w:hAnsi="Calibri" w:cs="Arial"/>
                <w:sz w:val="18"/>
                <w:szCs w:val="18"/>
              </w:rPr>
              <w:t>9,66%</w:t>
            </w:r>
          </w:p>
        </w:tc>
      </w:tr>
      <w:tr w:rsidR="00034E5A" w14:paraId="0F841900" w14:textId="77777777" w:rsidTr="008A3C49">
        <w:trPr>
          <w:trHeight w:val="323"/>
        </w:trPr>
        <w:tc>
          <w:tcPr>
            <w:tcW w:w="3801" w:type="dxa"/>
            <w:gridSpan w:val="2"/>
            <w:shd w:val="clear" w:color="auto" w:fill="auto"/>
            <w:vAlign w:val="center"/>
            <w:hideMark/>
          </w:tcPr>
          <w:p w14:paraId="619761A8"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Информације и комуникације</w:t>
            </w:r>
          </w:p>
        </w:tc>
        <w:tc>
          <w:tcPr>
            <w:tcW w:w="933" w:type="dxa"/>
            <w:shd w:val="clear" w:color="auto" w:fill="auto"/>
            <w:vAlign w:val="center"/>
            <w:hideMark/>
          </w:tcPr>
          <w:p w14:paraId="078A6332"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w:t>
            </w:r>
          </w:p>
        </w:tc>
        <w:tc>
          <w:tcPr>
            <w:tcW w:w="1494" w:type="dxa"/>
            <w:shd w:val="clear" w:color="auto" w:fill="auto"/>
            <w:vAlign w:val="center"/>
            <w:hideMark/>
          </w:tcPr>
          <w:p w14:paraId="630C1DA0"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1.620.000,00</w:t>
            </w:r>
          </w:p>
        </w:tc>
        <w:tc>
          <w:tcPr>
            <w:tcW w:w="1300" w:type="dxa"/>
            <w:shd w:val="clear" w:color="auto" w:fill="auto"/>
            <w:vAlign w:val="center"/>
            <w:hideMark/>
          </w:tcPr>
          <w:p w14:paraId="62D96042"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810.000,00</w:t>
            </w:r>
          </w:p>
        </w:tc>
        <w:tc>
          <w:tcPr>
            <w:tcW w:w="1276" w:type="dxa"/>
            <w:vAlign w:val="center"/>
          </w:tcPr>
          <w:p w14:paraId="484EBBB6" w14:textId="77777777" w:rsidR="00034E5A" w:rsidRDefault="00034E5A">
            <w:pPr>
              <w:jc w:val="right"/>
              <w:rPr>
                <w:rFonts w:ascii="Calibri" w:hAnsi="Calibri" w:cs="Arial"/>
                <w:sz w:val="18"/>
                <w:szCs w:val="18"/>
              </w:rPr>
            </w:pPr>
            <w:r>
              <w:rPr>
                <w:rFonts w:ascii="Calibri" w:hAnsi="Calibri" w:cs="Arial"/>
                <w:sz w:val="18"/>
                <w:szCs w:val="18"/>
              </w:rPr>
              <w:t>5,44%</w:t>
            </w:r>
          </w:p>
        </w:tc>
      </w:tr>
      <w:tr w:rsidR="00034E5A" w:rsidRPr="009342FB" w14:paraId="6A0522DE" w14:textId="77777777" w:rsidTr="008A3C49">
        <w:trPr>
          <w:trHeight w:val="252"/>
        </w:trPr>
        <w:tc>
          <w:tcPr>
            <w:tcW w:w="3801" w:type="dxa"/>
            <w:gridSpan w:val="2"/>
            <w:shd w:val="clear" w:color="auto" w:fill="auto"/>
            <w:vAlign w:val="center"/>
            <w:hideMark/>
          </w:tcPr>
          <w:p w14:paraId="59BFCD58"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Грађевинарство</w:t>
            </w:r>
          </w:p>
        </w:tc>
        <w:tc>
          <w:tcPr>
            <w:tcW w:w="933" w:type="dxa"/>
            <w:shd w:val="clear" w:color="auto" w:fill="auto"/>
            <w:vAlign w:val="center"/>
            <w:hideMark/>
          </w:tcPr>
          <w:p w14:paraId="2E359996"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4</w:t>
            </w:r>
          </w:p>
        </w:tc>
        <w:tc>
          <w:tcPr>
            <w:tcW w:w="1494" w:type="dxa"/>
            <w:shd w:val="clear" w:color="auto" w:fill="auto"/>
            <w:vAlign w:val="center"/>
            <w:hideMark/>
          </w:tcPr>
          <w:p w14:paraId="5951E98E"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1.520.000,01</w:t>
            </w:r>
          </w:p>
        </w:tc>
        <w:tc>
          <w:tcPr>
            <w:tcW w:w="1300" w:type="dxa"/>
            <w:shd w:val="clear" w:color="auto" w:fill="auto"/>
            <w:vAlign w:val="center"/>
            <w:hideMark/>
          </w:tcPr>
          <w:p w14:paraId="3679D32A"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760.000,01</w:t>
            </w:r>
          </w:p>
        </w:tc>
        <w:tc>
          <w:tcPr>
            <w:tcW w:w="1276" w:type="dxa"/>
            <w:vAlign w:val="center"/>
          </w:tcPr>
          <w:p w14:paraId="7AA6BF48" w14:textId="77777777" w:rsidR="00034E5A" w:rsidRDefault="00034E5A">
            <w:pPr>
              <w:jc w:val="right"/>
              <w:rPr>
                <w:rFonts w:ascii="Calibri" w:hAnsi="Calibri" w:cs="Arial"/>
                <w:sz w:val="18"/>
                <w:szCs w:val="18"/>
              </w:rPr>
            </w:pPr>
            <w:r>
              <w:rPr>
                <w:rFonts w:ascii="Calibri" w:hAnsi="Calibri" w:cs="Arial"/>
                <w:sz w:val="18"/>
                <w:szCs w:val="18"/>
              </w:rPr>
              <w:t>5,11%</w:t>
            </w:r>
          </w:p>
        </w:tc>
      </w:tr>
      <w:tr w:rsidR="00034E5A" w:rsidRPr="009342FB" w14:paraId="15086384" w14:textId="77777777" w:rsidTr="008A3C49">
        <w:trPr>
          <w:trHeight w:val="439"/>
        </w:trPr>
        <w:tc>
          <w:tcPr>
            <w:tcW w:w="3801" w:type="dxa"/>
            <w:gridSpan w:val="2"/>
            <w:shd w:val="clear" w:color="auto" w:fill="auto"/>
            <w:vAlign w:val="center"/>
          </w:tcPr>
          <w:p w14:paraId="62178646" w14:textId="77777777" w:rsidR="00034E5A" w:rsidRPr="00034E5A"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lang w:val="sr-Cyrl-RS"/>
              </w:rPr>
              <w:t>Пољопривреда, шумарство и риболов</w:t>
            </w:r>
          </w:p>
        </w:tc>
        <w:tc>
          <w:tcPr>
            <w:tcW w:w="933" w:type="dxa"/>
            <w:shd w:val="clear" w:color="auto" w:fill="auto"/>
            <w:vAlign w:val="center"/>
          </w:tcPr>
          <w:p w14:paraId="3B870D49" w14:textId="77777777" w:rsidR="00034E5A" w:rsidRPr="00034E5A"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4</w:t>
            </w:r>
          </w:p>
        </w:tc>
        <w:tc>
          <w:tcPr>
            <w:tcW w:w="1494" w:type="dxa"/>
            <w:shd w:val="clear" w:color="auto" w:fill="auto"/>
            <w:vAlign w:val="center"/>
          </w:tcPr>
          <w:p w14:paraId="47158BE6"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445.000,00</w:t>
            </w:r>
          </w:p>
        </w:tc>
        <w:tc>
          <w:tcPr>
            <w:tcW w:w="1300" w:type="dxa"/>
            <w:shd w:val="clear" w:color="auto" w:fill="auto"/>
            <w:vAlign w:val="center"/>
          </w:tcPr>
          <w:p w14:paraId="20A4E35A"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222.500,00</w:t>
            </w:r>
          </w:p>
        </w:tc>
        <w:tc>
          <w:tcPr>
            <w:tcW w:w="1276" w:type="dxa"/>
            <w:vAlign w:val="center"/>
          </w:tcPr>
          <w:p w14:paraId="70B2C3A4" w14:textId="77777777" w:rsidR="00034E5A" w:rsidRDefault="00034E5A">
            <w:pPr>
              <w:jc w:val="right"/>
              <w:rPr>
                <w:rFonts w:ascii="Calibri" w:hAnsi="Calibri" w:cs="Arial"/>
                <w:sz w:val="18"/>
                <w:szCs w:val="18"/>
              </w:rPr>
            </w:pPr>
            <w:r>
              <w:rPr>
                <w:rFonts w:ascii="Calibri" w:hAnsi="Calibri" w:cs="Arial"/>
                <w:sz w:val="18"/>
                <w:szCs w:val="18"/>
              </w:rPr>
              <w:t>1,52%</w:t>
            </w:r>
          </w:p>
        </w:tc>
      </w:tr>
      <w:tr w:rsidR="00034E5A" w:rsidRPr="009342FB" w14:paraId="5ED84D03" w14:textId="77777777" w:rsidTr="008A3C49">
        <w:trPr>
          <w:trHeight w:val="439"/>
        </w:trPr>
        <w:tc>
          <w:tcPr>
            <w:tcW w:w="3801" w:type="dxa"/>
            <w:gridSpan w:val="2"/>
            <w:shd w:val="clear" w:color="auto" w:fill="auto"/>
            <w:vAlign w:val="center"/>
          </w:tcPr>
          <w:p w14:paraId="7DDE7905"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Дјелатности здравствене заштите и социјалног рада</w:t>
            </w:r>
          </w:p>
        </w:tc>
        <w:tc>
          <w:tcPr>
            <w:tcW w:w="933" w:type="dxa"/>
            <w:shd w:val="clear" w:color="auto" w:fill="auto"/>
            <w:vAlign w:val="center"/>
          </w:tcPr>
          <w:p w14:paraId="5AD5AC40"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tcPr>
          <w:p w14:paraId="523E01C5"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1.500.000,00</w:t>
            </w:r>
          </w:p>
        </w:tc>
        <w:tc>
          <w:tcPr>
            <w:tcW w:w="1300" w:type="dxa"/>
            <w:shd w:val="clear" w:color="auto" w:fill="auto"/>
            <w:vAlign w:val="center"/>
          </w:tcPr>
          <w:p w14:paraId="2FD6B956"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750.000,00</w:t>
            </w:r>
          </w:p>
        </w:tc>
        <w:tc>
          <w:tcPr>
            <w:tcW w:w="1276" w:type="dxa"/>
            <w:vAlign w:val="center"/>
          </w:tcPr>
          <w:p w14:paraId="5B90D8C1" w14:textId="77777777" w:rsidR="00034E5A" w:rsidRDefault="00034E5A">
            <w:pPr>
              <w:jc w:val="right"/>
              <w:rPr>
                <w:rFonts w:ascii="Calibri" w:hAnsi="Calibri" w:cs="Arial"/>
                <w:sz w:val="18"/>
                <w:szCs w:val="18"/>
              </w:rPr>
            </w:pPr>
            <w:r>
              <w:rPr>
                <w:rFonts w:ascii="Calibri" w:hAnsi="Calibri" w:cs="Arial"/>
                <w:sz w:val="18"/>
                <w:szCs w:val="18"/>
              </w:rPr>
              <w:t>5,04%</w:t>
            </w:r>
          </w:p>
        </w:tc>
      </w:tr>
      <w:tr w:rsidR="00034E5A" w:rsidRPr="009342FB" w14:paraId="6456341E" w14:textId="77777777" w:rsidTr="008A3C49">
        <w:trPr>
          <w:trHeight w:val="252"/>
        </w:trPr>
        <w:tc>
          <w:tcPr>
            <w:tcW w:w="3801" w:type="dxa"/>
            <w:gridSpan w:val="2"/>
            <w:shd w:val="clear" w:color="auto" w:fill="auto"/>
            <w:vAlign w:val="center"/>
          </w:tcPr>
          <w:p w14:paraId="2B0F5152"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Стручне, научне и техничке дјелатности</w:t>
            </w:r>
          </w:p>
        </w:tc>
        <w:tc>
          <w:tcPr>
            <w:tcW w:w="933" w:type="dxa"/>
            <w:shd w:val="clear" w:color="auto" w:fill="auto"/>
            <w:vAlign w:val="center"/>
          </w:tcPr>
          <w:p w14:paraId="05AF797B"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tcPr>
          <w:p w14:paraId="37D40A1F"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729.000,00</w:t>
            </w:r>
          </w:p>
        </w:tc>
        <w:tc>
          <w:tcPr>
            <w:tcW w:w="1300" w:type="dxa"/>
            <w:shd w:val="clear" w:color="auto" w:fill="auto"/>
            <w:vAlign w:val="center"/>
          </w:tcPr>
          <w:p w14:paraId="5C952811"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364.500,00</w:t>
            </w:r>
          </w:p>
        </w:tc>
        <w:tc>
          <w:tcPr>
            <w:tcW w:w="1276" w:type="dxa"/>
            <w:vAlign w:val="center"/>
          </w:tcPr>
          <w:p w14:paraId="612F0817" w14:textId="77777777" w:rsidR="00034E5A" w:rsidRDefault="00034E5A">
            <w:pPr>
              <w:jc w:val="right"/>
              <w:rPr>
                <w:rFonts w:ascii="Calibri" w:hAnsi="Calibri" w:cs="Arial"/>
                <w:sz w:val="18"/>
                <w:szCs w:val="18"/>
              </w:rPr>
            </w:pPr>
            <w:r>
              <w:rPr>
                <w:rFonts w:ascii="Calibri" w:hAnsi="Calibri" w:cs="Arial"/>
                <w:sz w:val="18"/>
                <w:szCs w:val="18"/>
              </w:rPr>
              <w:t>2,45%</w:t>
            </w:r>
          </w:p>
        </w:tc>
      </w:tr>
      <w:tr w:rsidR="00034E5A" w:rsidRPr="009342FB" w14:paraId="7D91C0B7" w14:textId="77777777" w:rsidTr="008A3C49">
        <w:trPr>
          <w:trHeight w:val="323"/>
        </w:trPr>
        <w:tc>
          <w:tcPr>
            <w:tcW w:w="3801" w:type="dxa"/>
            <w:gridSpan w:val="2"/>
            <w:shd w:val="clear" w:color="auto" w:fill="auto"/>
            <w:vAlign w:val="center"/>
          </w:tcPr>
          <w:p w14:paraId="5A1A53F7" w14:textId="77777777" w:rsidR="00034E5A" w:rsidRPr="00B414B5"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lang w:val="sr-Cyrl-RS"/>
              </w:rPr>
              <w:t>Производња и снабдијевање електричном енергијом, гасом, паром и климатизација</w:t>
            </w:r>
          </w:p>
        </w:tc>
        <w:tc>
          <w:tcPr>
            <w:tcW w:w="933" w:type="dxa"/>
            <w:shd w:val="clear" w:color="auto" w:fill="auto"/>
            <w:vAlign w:val="center"/>
          </w:tcPr>
          <w:p w14:paraId="3F14083E" w14:textId="77777777" w:rsidR="00034E5A" w:rsidRPr="00B414B5"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2</w:t>
            </w:r>
          </w:p>
        </w:tc>
        <w:tc>
          <w:tcPr>
            <w:tcW w:w="1494" w:type="dxa"/>
            <w:shd w:val="clear" w:color="auto" w:fill="auto"/>
            <w:vAlign w:val="center"/>
          </w:tcPr>
          <w:p w14:paraId="7E8D005F" w14:textId="77777777" w:rsidR="00034E5A" w:rsidRPr="00B414B5"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655.000,00</w:t>
            </w:r>
          </w:p>
        </w:tc>
        <w:tc>
          <w:tcPr>
            <w:tcW w:w="1300" w:type="dxa"/>
            <w:shd w:val="clear" w:color="auto" w:fill="auto"/>
            <w:vAlign w:val="center"/>
          </w:tcPr>
          <w:p w14:paraId="02543227" w14:textId="77777777" w:rsidR="00034E5A" w:rsidRPr="00B414B5"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327.500,00</w:t>
            </w:r>
          </w:p>
        </w:tc>
        <w:tc>
          <w:tcPr>
            <w:tcW w:w="1276" w:type="dxa"/>
            <w:vAlign w:val="center"/>
          </w:tcPr>
          <w:p w14:paraId="7314BC89" w14:textId="77777777" w:rsidR="00034E5A" w:rsidRDefault="00034E5A">
            <w:pPr>
              <w:jc w:val="right"/>
              <w:rPr>
                <w:rFonts w:ascii="Calibri" w:hAnsi="Calibri" w:cs="Arial"/>
                <w:sz w:val="18"/>
                <w:szCs w:val="18"/>
              </w:rPr>
            </w:pPr>
            <w:r>
              <w:rPr>
                <w:rFonts w:ascii="Calibri" w:hAnsi="Calibri" w:cs="Arial"/>
                <w:sz w:val="18"/>
                <w:szCs w:val="18"/>
                <w:lang w:val="sr-Cyrl-RS"/>
              </w:rPr>
              <w:t>2,20%</w:t>
            </w:r>
          </w:p>
        </w:tc>
      </w:tr>
      <w:tr w:rsidR="00034E5A" w:rsidRPr="009342FB" w14:paraId="097F5A4B" w14:textId="77777777" w:rsidTr="008A3C49">
        <w:trPr>
          <w:trHeight w:val="289"/>
        </w:trPr>
        <w:tc>
          <w:tcPr>
            <w:tcW w:w="3801" w:type="dxa"/>
            <w:gridSpan w:val="2"/>
            <w:shd w:val="clear" w:color="auto" w:fill="auto"/>
            <w:vAlign w:val="center"/>
            <w:hideMark/>
          </w:tcPr>
          <w:p w14:paraId="5B9B2171"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Административне и помоћне услужне дјелатности</w:t>
            </w:r>
          </w:p>
        </w:tc>
        <w:tc>
          <w:tcPr>
            <w:tcW w:w="933" w:type="dxa"/>
            <w:shd w:val="clear" w:color="auto" w:fill="auto"/>
            <w:vAlign w:val="center"/>
            <w:hideMark/>
          </w:tcPr>
          <w:p w14:paraId="695EDAB8"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w:t>
            </w:r>
          </w:p>
        </w:tc>
        <w:tc>
          <w:tcPr>
            <w:tcW w:w="1494" w:type="dxa"/>
            <w:shd w:val="clear" w:color="auto" w:fill="auto"/>
            <w:vAlign w:val="center"/>
            <w:hideMark/>
          </w:tcPr>
          <w:p w14:paraId="76F9A98B"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500.000,00</w:t>
            </w:r>
          </w:p>
        </w:tc>
        <w:tc>
          <w:tcPr>
            <w:tcW w:w="1300" w:type="dxa"/>
            <w:shd w:val="clear" w:color="auto" w:fill="auto"/>
            <w:vAlign w:val="center"/>
            <w:hideMark/>
          </w:tcPr>
          <w:p w14:paraId="62EA3E7E"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250.000,00</w:t>
            </w:r>
          </w:p>
        </w:tc>
        <w:tc>
          <w:tcPr>
            <w:tcW w:w="1276" w:type="dxa"/>
            <w:vAlign w:val="center"/>
          </w:tcPr>
          <w:p w14:paraId="4F6C517F" w14:textId="77777777" w:rsidR="00034E5A" w:rsidRDefault="00034E5A">
            <w:pPr>
              <w:jc w:val="right"/>
              <w:rPr>
                <w:rFonts w:ascii="Calibri" w:hAnsi="Calibri" w:cs="Arial"/>
                <w:sz w:val="18"/>
                <w:szCs w:val="18"/>
              </w:rPr>
            </w:pPr>
            <w:r>
              <w:rPr>
                <w:rFonts w:ascii="Calibri" w:hAnsi="Calibri" w:cs="Arial"/>
                <w:sz w:val="18"/>
                <w:szCs w:val="18"/>
              </w:rPr>
              <w:t>1,68%</w:t>
            </w:r>
          </w:p>
        </w:tc>
      </w:tr>
      <w:tr w:rsidR="00034E5A" w:rsidRPr="009342FB" w14:paraId="628C35FB" w14:textId="77777777" w:rsidTr="008A3C49">
        <w:trPr>
          <w:trHeight w:val="252"/>
        </w:trPr>
        <w:tc>
          <w:tcPr>
            <w:tcW w:w="3801" w:type="dxa"/>
            <w:gridSpan w:val="2"/>
            <w:shd w:val="clear" w:color="auto" w:fill="auto"/>
            <w:vAlign w:val="center"/>
            <w:hideMark/>
          </w:tcPr>
          <w:p w14:paraId="75B7AAF6"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Образовање</w:t>
            </w:r>
          </w:p>
        </w:tc>
        <w:tc>
          <w:tcPr>
            <w:tcW w:w="933" w:type="dxa"/>
            <w:shd w:val="clear" w:color="auto" w:fill="auto"/>
            <w:vAlign w:val="center"/>
            <w:hideMark/>
          </w:tcPr>
          <w:p w14:paraId="222696A8"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hideMark/>
          </w:tcPr>
          <w:p w14:paraId="3D6E651A"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110.000,00</w:t>
            </w:r>
          </w:p>
        </w:tc>
        <w:tc>
          <w:tcPr>
            <w:tcW w:w="1300" w:type="dxa"/>
            <w:shd w:val="clear" w:color="auto" w:fill="auto"/>
            <w:vAlign w:val="center"/>
            <w:hideMark/>
          </w:tcPr>
          <w:p w14:paraId="4F296784"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55.000,00</w:t>
            </w:r>
          </w:p>
        </w:tc>
        <w:tc>
          <w:tcPr>
            <w:tcW w:w="1276" w:type="dxa"/>
            <w:vAlign w:val="center"/>
          </w:tcPr>
          <w:p w14:paraId="02752154" w14:textId="77777777" w:rsidR="00034E5A" w:rsidRDefault="00034E5A">
            <w:pPr>
              <w:jc w:val="right"/>
              <w:rPr>
                <w:rFonts w:ascii="Calibri" w:hAnsi="Calibri" w:cs="Arial"/>
                <w:sz w:val="18"/>
                <w:szCs w:val="18"/>
              </w:rPr>
            </w:pPr>
            <w:r>
              <w:rPr>
                <w:rFonts w:ascii="Calibri" w:hAnsi="Calibri" w:cs="Arial"/>
                <w:sz w:val="18"/>
                <w:szCs w:val="18"/>
              </w:rPr>
              <w:t>0,37%</w:t>
            </w:r>
          </w:p>
        </w:tc>
      </w:tr>
      <w:tr w:rsidR="00034E5A" w:rsidRPr="009342FB" w14:paraId="5EA63A45" w14:textId="77777777" w:rsidTr="008A3C49">
        <w:trPr>
          <w:trHeight w:val="283"/>
        </w:trPr>
        <w:tc>
          <w:tcPr>
            <w:tcW w:w="3801" w:type="dxa"/>
            <w:gridSpan w:val="2"/>
            <w:shd w:val="clear" w:color="auto" w:fill="auto"/>
            <w:vAlign w:val="center"/>
          </w:tcPr>
          <w:p w14:paraId="37FFCD4E" w14:textId="77777777" w:rsidR="00034E5A" w:rsidRPr="00034E5A"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lang w:val="sr-Cyrl-RS"/>
              </w:rPr>
              <w:t>Вађење руде и камена</w:t>
            </w:r>
          </w:p>
        </w:tc>
        <w:tc>
          <w:tcPr>
            <w:tcW w:w="933" w:type="dxa"/>
            <w:shd w:val="clear" w:color="auto" w:fill="auto"/>
            <w:vAlign w:val="center"/>
          </w:tcPr>
          <w:p w14:paraId="6B740220" w14:textId="77777777" w:rsidR="00034E5A" w:rsidRPr="00034E5A"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3</w:t>
            </w:r>
          </w:p>
        </w:tc>
        <w:tc>
          <w:tcPr>
            <w:tcW w:w="1494" w:type="dxa"/>
            <w:shd w:val="clear" w:color="auto" w:fill="auto"/>
            <w:vAlign w:val="center"/>
          </w:tcPr>
          <w:p w14:paraId="5C8268D4"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390.000,00</w:t>
            </w:r>
          </w:p>
        </w:tc>
        <w:tc>
          <w:tcPr>
            <w:tcW w:w="1300" w:type="dxa"/>
            <w:shd w:val="clear" w:color="auto" w:fill="auto"/>
            <w:vAlign w:val="center"/>
          </w:tcPr>
          <w:p w14:paraId="11FC79BD"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lang w:val="sr-Cyrl-RS"/>
              </w:rPr>
              <w:t>195.000,00</w:t>
            </w:r>
          </w:p>
        </w:tc>
        <w:tc>
          <w:tcPr>
            <w:tcW w:w="1276" w:type="dxa"/>
            <w:vAlign w:val="center"/>
          </w:tcPr>
          <w:p w14:paraId="1DD710A5" w14:textId="77777777" w:rsidR="00034E5A" w:rsidRDefault="00034E5A">
            <w:pPr>
              <w:jc w:val="right"/>
              <w:rPr>
                <w:rFonts w:ascii="Calibri" w:hAnsi="Calibri" w:cs="Arial"/>
                <w:sz w:val="18"/>
                <w:szCs w:val="18"/>
              </w:rPr>
            </w:pPr>
            <w:r>
              <w:rPr>
                <w:rFonts w:ascii="Calibri" w:hAnsi="Calibri" w:cs="Arial"/>
                <w:sz w:val="18"/>
                <w:szCs w:val="18"/>
              </w:rPr>
              <w:t>1,31%</w:t>
            </w:r>
          </w:p>
        </w:tc>
      </w:tr>
      <w:tr w:rsidR="00034E5A" w:rsidRPr="009342FB" w14:paraId="77257134" w14:textId="77777777" w:rsidTr="008A3C49">
        <w:trPr>
          <w:trHeight w:val="283"/>
        </w:trPr>
        <w:tc>
          <w:tcPr>
            <w:tcW w:w="3801" w:type="dxa"/>
            <w:gridSpan w:val="2"/>
            <w:shd w:val="clear" w:color="auto" w:fill="auto"/>
            <w:vAlign w:val="center"/>
          </w:tcPr>
          <w:p w14:paraId="2A1648FA"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Дјелатности домаћинстава као послодаваца; дјелатности домаћинстава која производе различиту робу и обављају различите услуге за сопствену употребу</w:t>
            </w:r>
          </w:p>
        </w:tc>
        <w:tc>
          <w:tcPr>
            <w:tcW w:w="933" w:type="dxa"/>
            <w:shd w:val="clear" w:color="auto" w:fill="auto"/>
            <w:vAlign w:val="center"/>
          </w:tcPr>
          <w:p w14:paraId="33FA657B"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w:t>
            </w:r>
          </w:p>
        </w:tc>
        <w:tc>
          <w:tcPr>
            <w:tcW w:w="1494" w:type="dxa"/>
            <w:shd w:val="clear" w:color="auto" w:fill="auto"/>
            <w:vAlign w:val="center"/>
          </w:tcPr>
          <w:p w14:paraId="2813DE2D"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100.000,00</w:t>
            </w:r>
          </w:p>
        </w:tc>
        <w:tc>
          <w:tcPr>
            <w:tcW w:w="1300" w:type="dxa"/>
            <w:shd w:val="clear" w:color="auto" w:fill="auto"/>
            <w:vAlign w:val="center"/>
          </w:tcPr>
          <w:p w14:paraId="1D3F2A8F"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50.000,00</w:t>
            </w:r>
          </w:p>
        </w:tc>
        <w:tc>
          <w:tcPr>
            <w:tcW w:w="1276" w:type="dxa"/>
            <w:vAlign w:val="center"/>
          </w:tcPr>
          <w:p w14:paraId="1B506AFF" w14:textId="77777777" w:rsidR="00034E5A" w:rsidRDefault="00034E5A">
            <w:pPr>
              <w:jc w:val="right"/>
              <w:rPr>
                <w:rFonts w:ascii="Calibri" w:hAnsi="Calibri" w:cs="Arial"/>
                <w:sz w:val="18"/>
                <w:szCs w:val="18"/>
              </w:rPr>
            </w:pPr>
            <w:r>
              <w:rPr>
                <w:rFonts w:ascii="Calibri" w:hAnsi="Calibri" w:cs="Arial"/>
                <w:sz w:val="18"/>
                <w:szCs w:val="18"/>
              </w:rPr>
              <w:t>0,34%</w:t>
            </w:r>
          </w:p>
        </w:tc>
      </w:tr>
      <w:tr w:rsidR="00034E5A" w:rsidRPr="009342FB" w14:paraId="3F743086" w14:textId="77777777" w:rsidTr="008A3C49">
        <w:trPr>
          <w:trHeight w:val="286"/>
        </w:trPr>
        <w:tc>
          <w:tcPr>
            <w:tcW w:w="3801" w:type="dxa"/>
            <w:gridSpan w:val="2"/>
            <w:shd w:val="clear" w:color="auto" w:fill="auto"/>
            <w:vAlign w:val="center"/>
            <w:hideMark/>
          </w:tcPr>
          <w:p w14:paraId="7274DD69"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Умјетност, забава и рекреација</w:t>
            </w:r>
          </w:p>
        </w:tc>
        <w:tc>
          <w:tcPr>
            <w:tcW w:w="933" w:type="dxa"/>
            <w:shd w:val="clear" w:color="auto" w:fill="auto"/>
            <w:vAlign w:val="center"/>
            <w:hideMark/>
          </w:tcPr>
          <w:p w14:paraId="085EF95D"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w:t>
            </w:r>
          </w:p>
        </w:tc>
        <w:tc>
          <w:tcPr>
            <w:tcW w:w="1494" w:type="dxa"/>
            <w:shd w:val="clear" w:color="auto" w:fill="auto"/>
            <w:vAlign w:val="center"/>
            <w:hideMark/>
          </w:tcPr>
          <w:p w14:paraId="3E910DC5"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20.000,00</w:t>
            </w:r>
          </w:p>
        </w:tc>
        <w:tc>
          <w:tcPr>
            <w:tcW w:w="1300" w:type="dxa"/>
            <w:shd w:val="clear" w:color="auto" w:fill="auto"/>
            <w:vAlign w:val="center"/>
            <w:hideMark/>
          </w:tcPr>
          <w:p w14:paraId="5DCA261E"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10.000,00</w:t>
            </w:r>
          </w:p>
        </w:tc>
        <w:tc>
          <w:tcPr>
            <w:tcW w:w="1276" w:type="dxa"/>
            <w:vAlign w:val="center"/>
          </w:tcPr>
          <w:p w14:paraId="2F2527CA" w14:textId="77777777" w:rsidR="00034E5A" w:rsidRDefault="00034E5A">
            <w:pPr>
              <w:jc w:val="right"/>
              <w:rPr>
                <w:rFonts w:ascii="Calibri" w:hAnsi="Calibri" w:cs="Arial"/>
                <w:sz w:val="18"/>
                <w:szCs w:val="18"/>
              </w:rPr>
            </w:pPr>
            <w:r>
              <w:rPr>
                <w:rFonts w:ascii="Calibri" w:hAnsi="Calibri" w:cs="Arial"/>
                <w:sz w:val="18"/>
                <w:szCs w:val="18"/>
              </w:rPr>
              <w:t>0,07%</w:t>
            </w:r>
          </w:p>
        </w:tc>
      </w:tr>
      <w:tr w:rsidR="00034E5A" w:rsidRPr="005767EF" w14:paraId="6D4C22D5" w14:textId="77777777" w:rsidTr="008A3C49">
        <w:trPr>
          <w:gridBefore w:val="1"/>
          <w:wBefore w:w="17" w:type="dxa"/>
          <w:trHeight w:val="277"/>
        </w:trPr>
        <w:tc>
          <w:tcPr>
            <w:tcW w:w="3784" w:type="dxa"/>
            <w:shd w:val="clear" w:color="auto" w:fill="548DD4" w:themeFill="text2" w:themeFillTint="99"/>
            <w:vAlign w:val="center"/>
          </w:tcPr>
          <w:p w14:paraId="67764ABC" w14:textId="77777777" w:rsidR="00034E5A" w:rsidRPr="00B414B5" w:rsidRDefault="00034E5A" w:rsidP="008A3C49">
            <w:pPr>
              <w:jc w:val="center"/>
              <w:rPr>
                <w:rFonts w:asciiTheme="minorHAnsi" w:hAnsiTheme="minorHAnsi"/>
                <w:b/>
                <w:bCs/>
                <w:color w:val="auto"/>
                <w:sz w:val="18"/>
                <w:szCs w:val="18"/>
                <w:lang w:val="sr-Cyrl-BA" w:eastAsia="sr-Latn-RS"/>
              </w:rPr>
            </w:pPr>
            <w:r w:rsidRPr="00B414B5">
              <w:rPr>
                <w:rFonts w:asciiTheme="minorHAnsi" w:hAnsiTheme="minorHAnsi"/>
                <w:b/>
                <w:bCs/>
                <w:color w:val="auto"/>
                <w:sz w:val="18"/>
                <w:szCs w:val="18"/>
                <w:lang w:val="sr-Cyrl-BA" w:eastAsia="sr-Latn-RS"/>
              </w:rPr>
              <w:t>УКУПНО</w:t>
            </w:r>
          </w:p>
        </w:tc>
        <w:tc>
          <w:tcPr>
            <w:tcW w:w="933" w:type="dxa"/>
            <w:shd w:val="clear" w:color="auto" w:fill="548DD4" w:themeFill="text2" w:themeFillTint="99"/>
            <w:vAlign w:val="center"/>
            <w:hideMark/>
          </w:tcPr>
          <w:p w14:paraId="401E0821" w14:textId="77777777" w:rsidR="00034E5A" w:rsidRPr="00B414B5" w:rsidRDefault="00034E5A" w:rsidP="008A3C49">
            <w:pPr>
              <w:jc w:val="center"/>
              <w:rPr>
                <w:rFonts w:asciiTheme="minorHAnsi" w:hAnsiTheme="minorHAnsi"/>
                <w:b/>
                <w:bCs/>
                <w:color w:val="auto"/>
                <w:sz w:val="18"/>
                <w:szCs w:val="18"/>
                <w:lang w:val="sr-Cyrl-RS" w:eastAsia="sr-Latn-RS"/>
              </w:rPr>
            </w:pPr>
            <w:r w:rsidRPr="00B414B5">
              <w:rPr>
                <w:rFonts w:asciiTheme="minorHAnsi" w:hAnsiTheme="minorHAnsi"/>
                <w:b/>
                <w:bCs/>
                <w:color w:val="auto"/>
                <w:sz w:val="18"/>
                <w:szCs w:val="18"/>
                <w:lang w:val="sr-Cyrl-RS" w:eastAsia="sr-Latn-RS"/>
              </w:rPr>
              <w:t>122</w:t>
            </w:r>
          </w:p>
        </w:tc>
        <w:tc>
          <w:tcPr>
            <w:tcW w:w="1494" w:type="dxa"/>
            <w:shd w:val="clear" w:color="auto" w:fill="548DD4" w:themeFill="text2" w:themeFillTint="99"/>
            <w:vAlign w:val="center"/>
            <w:hideMark/>
          </w:tcPr>
          <w:p w14:paraId="5B2AC12A" w14:textId="77777777" w:rsidR="00034E5A" w:rsidRPr="00B414B5"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val="sr-Cyrl-RS" w:eastAsia="sr-Latn-RS"/>
              </w:rPr>
              <w:t>29.762.000,03</w:t>
            </w:r>
          </w:p>
        </w:tc>
        <w:tc>
          <w:tcPr>
            <w:tcW w:w="1300" w:type="dxa"/>
            <w:shd w:val="clear" w:color="auto" w:fill="548DD4" w:themeFill="text2" w:themeFillTint="99"/>
            <w:vAlign w:val="center"/>
            <w:hideMark/>
          </w:tcPr>
          <w:p w14:paraId="124146AC" w14:textId="77777777" w:rsidR="00034E5A" w:rsidRPr="00B414B5"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val="sr-Cyrl-RS" w:eastAsia="sr-Latn-RS"/>
              </w:rPr>
              <w:t>14.881.000,02</w:t>
            </w:r>
          </w:p>
        </w:tc>
        <w:tc>
          <w:tcPr>
            <w:tcW w:w="1276" w:type="dxa"/>
            <w:shd w:val="clear" w:color="auto" w:fill="548DD4" w:themeFill="text2" w:themeFillTint="99"/>
            <w:vAlign w:val="center"/>
          </w:tcPr>
          <w:p w14:paraId="6D40E2DD" w14:textId="77777777" w:rsidR="00034E5A"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val="sr-Cyrl-RS" w:eastAsia="sr-Latn-RS"/>
              </w:rPr>
              <w:t>100,00%</w:t>
            </w:r>
          </w:p>
        </w:tc>
      </w:tr>
    </w:tbl>
    <w:p w14:paraId="1CE12A9C"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052C6570" w14:textId="77777777" w:rsidR="001538EF" w:rsidRDefault="001538EF" w:rsidP="001538EF">
      <w:pPr>
        <w:autoSpaceDE w:val="0"/>
        <w:autoSpaceDN w:val="0"/>
        <w:adjustRightInd w:val="0"/>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 xml:space="preserve">Структура гаранција по дјелатностима показује да је </w:t>
      </w:r>
      <w:r w:rsidR="00862F67">
        <w:rPr>
          <w:rFonts w:asciiTheme="minorHAnsi" w:hAnsiTheme="minorHAnsi"/>
          <w:bCs/>
          <w:sz w:val="20"/>
          <w:szCs w:val="20"/>
          <w:lang w:val="sr-Cyrl-BA" w:eastAsia="sr-Latn-RS"/>
        </w:rPr>
        <w:t>50%</w:t>
      </w:r>
      <w:r w:rsidRPr="005767EF">
        <w:rPr>
          <w:rFonts w:asciiTheme="minorHAnsi" w:hAnsiTheme="minorHAnsi"/>
          <w:bCs/>
          <w:sz w:val="20"/>
          <w:szCs w:val="20"/>
          <w:lang w:val="sr-Cyrl-BA" w:eastAsia="sr-Latn-RS"/>
        </w:rPr>
        <w:t xml:space="preserve"> гаранција </w:t>
      </w:r>
      <w:r w:rsidR="00862F67">
        <w:rPr>
          <w:rFonts w:asciiTheme="minorHAnsi" w:hAnsiTheme="minorHAnsi"/>
          <w:bCs/>
          <w:sz w:val="20"/>
          <w:szCs w:val="20"/>
          <w:lang w:val="sr-Cyrl-BA" w:eastAsia="sr-Latn-RS"/>
        </w:rPr>
        <w:t xml:space="preserve">из кредитног портфеља </w:t>
      </w:r>
      <w:r w:rsidRPr="005767EF">
        <w:rPr>
          <w:rFonts w:asciiTheme="minorHAnsi" w:hAnsiTheme="minorHAnsi"/>
          <w:bCs/>
          <w:sz w:val="20"/>
          <w:szCs w:val="20"/>
          <w:lang w:val="sr-Cyrl-BA" w:eastAsia="sr-Latn-RS"/>
        </w:rPr>
        <w:t>издано пословн</w:t>
      </w:r>
      <w:r w:rsidR="00862F67">
        <w:rPr>
          <w:rFonts w:asciiTheme="minorHAnsi" w:hAnsiTheme="minorHAnsi"/>
          <w:bCs/>
          <w:sz w:val="20"/>
          <w:szCs w:val="20"/>
          <w:lang w:val="sr-Cyrl-BA" w:eastAsia="sr-Latn-RS"/>
        </w:rPr>
        <w:t>им субјектима који обављају дјелатности у оквиру прерађивачке индустрије. На другом мјесту се налази трговинска дјелатност, а гаранције привредним субјектима из ове групе имају учешће од 14,83%. На трећем мјесту се налази дјелатност саобраћаја и складиштења са учешћем од 9,66%. Приказана структура дјелатности је очекивана, с обзиром да су ово доминантне дјелатности које обављају привредни субјекти у Републици Српској.</w:t>
      </w:r>
    </w:p>
    <w:p w14:paraId="133C2719"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05B4A069"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7D7A83B4"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601B8CFF"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1BFCEF2D"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51705156"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5CED2EBA"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12267149"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67D4BD95"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6779E294"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49F645B8"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07DD8AA6"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591CBDDF"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3EACFD5C" w14:textId="77777777" w:rsidR="001538EF" w:rsidRDefault="001538EF" w:rsidP="001538EF">
      <w:pPr>
        <w:autoSpaceDE w:val="0"/>
        <w:autoSpaceDN w:val="0"/>
        <w:adjustRightInd w:val="0"/>
        <w:rPr>
          <w:rFonts w:asciiTheme="minorHAnsi" w:hAnsiTheme="minorHAnsi"/>
          <w:bCs/>
          <w:sz w:val="20"/>
          <w:szCs w:val="20"/>
          <w:lang w:val="sr-Cyrl-BA" w:eastAsia="sr-Latn-RS"/>
        </w:rPr>
      </w:pPr>
    </w:p>
    <w:p w14:paraId="0D809B1A" w14:textId="77777777" w:rsidR="005B57E0" w:rsidRPr="0066469A" w:rsidRDefault="005B57E0" w:rsidP="001538EF">
      <w:pPr>
        <w:autoSpaceDE w:val="0"/>
        <w:autoSpaceDN w:val="0"/>
        <w:adjustRightInd w:val="0"/>
        <w:rPr>
          <w:rFonts w:asciiTheme="minorHAnsi" w:hAnsiTheme="minorHAnsi"/>
          <w:b/>
          <w:bCs/>
          <w:sz w:val="20"/>
          <w:szCs w:val="20"/>
          <w:lang w:val="sr-Cyrl-RS" w:eastAsia="sr-Latn-RS"/>
        </w:rPr>
      </w:pPr>
    </w:p>
    <w:p w14:paraId="19CADE68" w14:textId="77777777" w:rsidR="00130BFD" w:rsidRPr="00130BFD" w:rsidRDefault="001538EF" w:rsidP="00130BFD">
      <w:pPr>
        <w:autoSpaceDE w:val="0"/>
        <w:autoSpaceDN w:val="0"/>
        <w:adjustRightInd w:val="0"/>
        <w:jc w:val="center"/>
        <w:rPr>
          <w:rFonts w:asciiTheme="minorHAnsi" w:eastAsiaTheme="minorHAnsi" w:hAnsiTheme="minorHAnsi"/>
          <w:color w:val="auto"/>
          <w:sz w:val="20"/>
          <w:szCs w:val="20"/>
          <w:lang w:val="sr-Cyrl-RS" w:eastAsia="en-US"/>
        </w:rPr>
      </w:pPr>
      <w:r w:rsidRPr="005767EF">
        <w:rPr>
          <w:rFonts w:asciiTheme="minorHAnsi" w:hAnsiTheme="minorHAnsi"/>
          <w:b/>
          <w:bCs/>
          <w:sz w:val="20"/>
          <w:szCs w:val="20"/>
          <w:lang w:val="sr-Latn-RS" w:eastAsia="sr-Latn-RS"/>
        </w:rPr>
        <w:t xml:space="preserve">Преглед изданих гаранција по </w:t>
      </w:r>
      <w:r w:rsidRPr="005767EF">
        <w:rPr>
          <w:rFonts w:asciiTheme="minorHAnsi" w:hAnsiTheme="minorHAnsi"/>
          <w:b/>
          <w:bCs/>
          <w:sz w:val="20"/>
          <w:szCs w:val="20"/>
          <w:lang w:val="sr-Cyrl-BA" w:eastAsia="sr-Latn-RS"/>
        </w:rPr>
        <w:t xml:space="preserve">градовима и општинама </w:t>
      </w:r>
      <w:r w:rsidR="008A3C49">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период</w:t>
      </w:r>
      <w:r w:rsidR="008A3C49">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01.01.202</w:t>
      </w:r>
      <w:r w:rsidR="009342FB">
        <w:rPr>
          <w:rFonts w:asciiTheme="minorHAnsi" w:hAnsiTheme="minorHAnsi"/>
          <w:b/>
          <w:bCs/>
          <w:sz w:val="20"/>
          <w:szCs w:val="20"/>
          <w:lang w:val="sr-Cyrl-RS" w:eastAsia="sr-Latn-RS"/>
        </w:rPr>
        <w:t>3</w:t>
      </w:r>
      <w:r w:rsidRPr="005767EF">
        <w:rPr>
          <w:rFonts w:asciiTheme="minorHAnsi" w:hAnsiTheme="minorHAnsi"/>
          <w:b/>
          <w:bCs/>
          <w:sz w:val="20"/>
          <w:szCs w:val="20"/>
          <w:lang w:val="sr-Latn-RS" w:eastAsia="sr-Latn-RS"/>
        </w:rPr>
        <w:t>. - 31.12.202</w:t>
      </w:r>
      <w:r w:rsidR="009342FB">
        <w:rPr>
          <w:rFonts w:asciiTheme="minorHAnsi" w:hAnsiTheme="minorHAnsi"/>
          <w:b/>
          <w:bCs/>
          <w:sz w:val="20"/>
          <w:szCs w:val="20"/>
          <w:lang w:val="sr-Cyrl-RS" w:eastAsia="sr-Latn-RS"/>
        </w:rPr>
        <w:t>3</w:t>
      </w:r>
      <w:r w:rsidR="00130BFD">
        <w:rPr>
          <w:rFonts w:asciiTheme="minorHAnsi" w:hAnsiTheme="minorHAnsi"/>
          <w:b/>
          <w:bCs/>
          <w:sz w:val="20"/>
          <w:szCs w:val="20"/>
          <w:lang w:val="sr-Latn-RS" w:eastAsia="sr-Latn-RS"/>
        </w:rPr>
        <w:t>. годин</w:t>
      </w:r>
      <w:r w:rsidR="00130BFD">
        <w:rPr>
          <w:rFonts w:asciiTheme="minorHAnsi" w:hAnsiTheme="minorHAnsi"/>
          <w:b/>
          <w:bCs/>
          <w:sz w:val="20"/>
          <w:szCs w:val="20"/>
          <w:lang w:val="sr-Cyrl-RS" w:eastAsia="sr-Latn-RS"/>
        </w:rPr>
        <w:t>е</w:t>
      </w:r>
    </w:p>
    <w:p w14:paraId="16C30AD5" w14:textId="77777777" w:rsidR="00130BFD" w:rsidRPr="005767EF" w:rsidRDefault="00130BFD" w:rsidP="001538EF">
      <w:pPr>
        <w:autoSpaceDE w:val="0"/>
        <w:autoSpaceDN w:val="0"/>
        <w:adjustRightInd w:val="0"/>
        <w:rPr>
          <w:rFonts w:asciiTheme="minorHAnsi" w:eastAsiaTheme="minorHAnsi" w:hAnsiTheme="minorHAnsi"/>
          <w:color w:val="auto"/>
          <w:sz w:val="20"/>
          <w:szCs w:val="20"/>
          <w:lang w:val="sr-Cyrl-BA" w:eastAsia="en-US"/>
        </w:rPr>
      </w:pPr>
    </w:p>
    <w:p w14:paraId="5383590E" w14:textId="77777777" w:rsidR="001538EF" w:rsidRPr="009342FB"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t xml:space="preserve">       </w:t>
      </w:r>
      <w:r w:rsidR="009342FB">
        <w:rPr>
          <w:rFonts w:asciiTheme="minorHAnsi" w:eastAsiaTheme="minorHAnsi" w:hAnsiTheme="minorHAnsi"/>
          <w:color w:val="auto"/>
          <w:sz w:val="20"/>
          <w:szCs w:val="20"/>
          <w:lang w:val="sr-Cyrl-BA" w:eastAsia="en-US"/>
        </w:rPr>
        <w:t xml:space="preserve">      </w:t>
      </w:r>
      <w:r w:rsidRPr="005767EF">
        <w:rPr>
          <w:rFonts w:asciiTheme="minorHAnsi" w:eastAsiaTheme="minorHAnsi" w:hAnsiTheme="minorHAnsi"/>
          <w:color w:val="auto"/>
          <w:sz w:val="20"/>
          <w:szCs w:val="20"/>
          <w:lang w:val="sr-Cyrl-BA" w:eastAsia="en-US"/>
        </w:rPr>
        <w:t xml:space="preserve">   </w:t>
      </w:r>
      <w:r w:rsidR="00A944C8">
        <w:rPr>
          <w:rFonts w:asciiTheme="minorHAnsi" w:eastAsiaTheme="minorHAnsi" w:hAnsiTheme="minorHAnsi"/>
          <w:b/>
          <w:color w:val="auto"/>
          <w:sz w:val="20"/>
          <w:szCs w:val="20"/>
          <w:lang w:val="sr-Cyrl-BA" w:eastAsia="en-US"/>
        </w:rPr>
        <w:t>Табела 11</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1991"/>
        <w:gridCol w:w="1843"/>
        <w:gridCol w:w="1701"/>
        <w:gridCol w:w="1701"/>
        <w:gridCol w:w="1559"/>
      </w:tblGrid>
      <w:tr w:rsidR="00130BFD" w:rsidRPr="00130BFD" w14:paraId="794BBF85" w14:textId="77777777" w:rsidTr="00BC6981">
        <w:trPr>
          <w:gridBefore w:val="1"/>
          <w:wBefore w:w="9" w:type="dxa"/>
          <w:trHeight w:val="822"/>
        </w:trPr>
        <w:tc>
          <w:tcPr>
            <w:tcW w:w="1991" w:type="dxa"/>
            <w:shd w:val="clear" w:color="auto" w:fill="8DB3E2" w:themeFill="text2" w:themeFillTint="66"/>
            <w:vAlign w:val="center"/>
            <w:hideMark/>
          </w:tcPr>
          <w:p w14:paraId="70FC5975"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val="sr-Latn-RS" w:eastAsia="sr-Latn-RS"/>
              </w:rPr>
              <w:t>Град/Општина</w:t>
            </w:r>
          </w:p>
        </w:tc>
        <w:tc>
          <w:tcPr>
            <w:tcW w:w="1843" w:type="dxa"/>
            <w:shd w:val="clear" w:color="auto" w:fill="8DB3E2" w:themeFill="text2" w:themeFillTint="66"/>
            <w:vAlign w:val="center"/>
          </w:tcPr>
          <w:p w14:paraId="1C00C282" w14:textId="77777777" w:rsidR="00130BFD" w:rsidRPr="00130BFD" w:rsidRDefault="00130BFD" w:rsidP="00130BFD">
            <w:pPr>
              <w:jc w:val="center"/>
              <w:rPr>
                <w:rFonts w:asciiTheme="minorHAnsi" w:hAnsiTheme="minorHAnsi"/>
                <w:b/>
                <w:sz w:val="18"/>
                <w:szCs w:val="18"/>
                <w:lang w:val="sr-Latn-RS" w:eastAsia="sr-Latn-RS"/>
              </w:rPr>
            </w:pPr>
            <w:r w:rsidRPr="00130BFD">
              <w:rPr>
                <w:rFonts w:asciiTheme="minorHAnsi" w:hAnsiTheme="minorHAnsi"/>
                <w:b/>
                <w:sz w:val="18"/>
                <w:szCs w:val="18"/>
                <w:lang w:val="sr-Latn-RS" w:eastAsia="sr-Latn-RS"/>
              </w:rPr>
              <w:t xml:space="preserve">Број </w:t>
            </w:r>
            <w:r w:rsidRPr="00130BFD">
              <w:rPr>
                <w:rFonts w:asciiTheme="minorHAnsi" w:hAnsiTheme="minorHAnsi"/>
                <w:b/>
                <w:sz w:val="18"/>
                <w:szCs w:val="18"/>
                <w:lang w:val="sr-Cyrl-BA" w:eastAsia="sr-Latn-RS"/>
              </w:rPr>
              <w:t>кредит</w:t>
            </w:r>
            <w:r w:rsidRPr="00130BFD">
              <w:rPr>
                <w:rFonts w:asciiTheme="minorHAnsi" w:hAnsiTheme="minorHAnsi"/>
                <w:b/>
                <w:sz w:val="18"/>
                <w:szCs w:val="18"/>
                <w:lang w:val="sr-Latn-RS" w:eastAsia="sr-Latn-RS"/>
              </w:rPr>
              <w:t>а</w:t>
            </w:r>
          </w:p>
        </w:tc>
        <w:tc>
          <w:tcPr>
            <w:tcW w:w="1701" w:type="dxa"/>
            <w:shd w:val="clear" w:color="auto" w:fill="8DB3E2" w:themeFill="text2" w:themeFillTint="66"/>
            <w:vAlign w:val="center"/>
            <w:hideMark/>
          </w:tcPr>
          <w:p w14:paraId="6432C95F"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val="sr-Latn-RS" w:eastAsia="sr-Latn-RS"/>
              </w:rPr>
              <w:t>Износ кредита</w:t>
            </w:r>
          </w:p>
        </w:tc>
        <w:tc>
          <w:tcPr>
            <w:tcW w:w="1701" w:type="dxa"/>
            <w:shd w:val="clear" w:color="auto" w:fill="8DB3E2" w:themeFill="text2" w:themeFillTint="66"/>
            <w:vAlign w:val="center"/>
            <w:hideMark/>
          </w:tcPr>
          <w:p w14:paraId="0B641AAE"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val="sr-Latn-RS" w:eastAsia="sr-Latn-RS"/>
              </w:rPr>
              <w:t>Износ гаранције</w:t>
            </w:r>
          </w:p>
        </w:tc>
        <w:tc>
          <w:tcPr>
            <w:tcW w:w="1559" w:type="dxa"/>
            <w:shd w:val="clear" w:color="auto" w:fill="8DB3E2" w:themeFill="text2" w:themeFillTint="66"/>
            <w:vAlign w:val="center"/>
          </w:tcPr>
          <w:p w14:paraId="1A603E89" w14:textId="77777777" w:rsidR="00130BFD" w:rsidRPr="00130BFD" w:rsidRDefault="00130BFD" w:rsidP="00130BFD">
            <w:pPr>
              <w:jc w:val="center"/>
              <w:rPr>
                <w:rFonts w:asciiTheme="minorHAnsi" w:hAnsiTheme="minorHAnsi"/>
                <w:b/>
                <w:sz w:val="18"/>
                <w:szCs w:val="18"/>
                <w:lang w:val="sr-Cyrl-RS" w:eastAsia="sr-Latn-RS"/>
              </w:rPr>
            </w:pPr>
            <w:r w:rsidRPr="00130BFD">
              <w:rPr>
                <w:rFonts w:asciiTheme="minorHAnsi" w:hAnsiTheme="minorHAnsi"/>
                <w:b/>
                <w:sz w:val="18"/>
                <w:szCs w:val="18"/>
                <w:lang w:val="sr-Cyrl-RS" w:eastAsia="sr-Latn-RS"/>
              </w:rPr>
              <w:t>Учешће</w:t>
            </w:r>
          </w:p>
        </w:tc>
      </w:tr>
      <w:tr w:rsidR="00130BFD" w:rsidRPr="00130BFD" w14:paraId="2472776E" w14:textId="77777777" w:rsidTr="00130BFD">
        <w:trPr>
          <w:trHeight w:val="222"/>
        </w:trPr>
        <w:tc>
          <w:tcPr>
            <w:tcW w:w="2000" w:type="dxa"/>
            <w:gridSpan w:val="2"/>
            <w:shd w:val="clear" w:color="auto" w:fill="auto"/>
            <w:vAlign w:val="center"/>
            <w:hideMark/>
          </w:tcPr>
          <w:p w14:paraId="69FF428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Бања Лука</w:t>
            </w:r>
          </w:p>
        </w:tc>
        <w:tc>
          <w:tcPr>
            <w:tcW w:w="1843" w:type="dxa"/>
            <w:shd w:val="clear" w:color="auto" w:fill="auto"/>
            <w:vAlign w:val="center"/>
            <w:hideMark/>
          </w:tcPr>
          <w:p w14:paraId="00A846EF"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39</w:t>
            </w:r>
          </w:p>
        </w:tc>
        <w:tc>
          <w:tcPr>
            <w:tcW w:w="1701" w:type="dxa"/>
            <w:shd w:val="clear" w:color="auto" w:fill="auto"/>
            <w:vAlign w:val="center"/>
          </w:tcPr>
          <w:p w14:paraId="52B5E509"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10.285.000,01</w:t>
            </w:r>
          </w:p>
        </w:tc>
        <w:tc>
          <w:tcPr>
            <w:tcW w:w="1701" w:type="dxa"/>
            <w:shd w:val="clear" w:color="auto" w:fill="auto"/>
            <w:noWrap/>
            <w:vAlign w:val="center"/>
            <w:hideMark/>
          </w:tcPr>
          <w:p w14:paraId="27207C8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5.142.500,01</w:t>
            </w:r>
          </w:p>
        </w:tc>
        <w:tc>
          <w:tcPr>
            <w:tcW w:w="1559" w:type="dxa"/>
            <w:vAlign w:val="center"/>
          </w:tcPr>
          <w:p w14:paraId="2456792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34,56%</w:t>
            </w:r>
          </w:p>
        </w:tc>
      </w:tr>
      <w:tr w:rsidR="00130BFD" w:rsidRPr="00130BFD" w14:paraId="7248555C" w14:textId="77777777" w:rsidTr="00130BFD">
        <w:trPr>
          <w:trHeight w:val="222"/>
        </w:trPr>
        <w:tc>
          <w:tcPr>
            <w:tcW w:w="2000" w:type="dxa"/>
            <w:gridSpan w:val="2"/>
            <w:shd w:val="clear" w:color="auto" w:fill="auto"/>
            <w:vAlign w:val="center"/>
            <w:hideMark/>
          </w:tcPr>
          <w:p w14:paraId="565C7B85"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Бијељина</w:t>
            </w:r>
          </w:p>
        </w:tc>
        <w:tc>
          <w:tcPr>
            <w:tcW w:w="1843" w:type="dxa"/>
            <w:shd w:val="clear" w:color="auto" w:fill="auto"/>
            <w:vAlign w:val="center"/>
            <w:hideMark/>
          </w:tcPr>
          <w:p w14:paraId="34FB7EE0"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18</w:t>
            </w:r>
          </w:p>
        </w:tc>
        <w:tc>
          <w:tcPr>
            <w:tcW w:w="1701" w:type="dxa"/>
            <w:shd w:val="clear" w:color="auto" w:fill="auto"/>
            <w:vAlign w:val="center"/>
          </w:tcPr>
          <w:p w14:paraId="2F3F1DE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3.860.000,02</w:t>
            </w:r>
          </w:p>
        </w:tc>
        <w:tc>
          <w:tcPr>
            <w:tcW w:w="1701" w:type="dxa"/>
            <w:shd w:val="clear" w:color="auto" w:fill="auto"/>
            <w:noWrap/>
            <w:vAlign w:val="center"/>
            <w:hideMark/>
          </w:tcPr>
          <w:p w14:paraId="236A3E0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1.930.000,01</w:t>
            </w:r>
          </w:p>
        </w:tc>
        <w:tc>
          <w:tcPr>
            <w:tcW w:w="1559" w:type="dxa"/>
            <w:vAlign w:val="center"/>
          </w:tcPr>
          <w:p w14:paraId="3DDA144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12,97%</w:t>
            </w:r>
          </w:p>
        </w:tc>
      </w:tr>
      <w:tr w:rsidR="00130BFD" w:rsidRPr="00130BFD" w14:paraId="6DEEA930" w14:textId="77777777" w:rsidTr="00130BFD">
        <w:trPr>
          <w:trHeight w:val="222"/>
        </w:trPr>
        <w:tc>
          <w:tcPr>
            <w:tcW w:w="2000" w:type="dxa"/>
            <w:gridSpan w:val="2"/>
            <w:shd w:val="clear" w:color="auto" w:fill="auto"/>
            <w:vAlign w:val="center"/>
            <w:hideMark/>
          </w:tcPr>
          <w:p w14:paraId="5BFF9066"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Челинац</w:t>
            </w:r>
          </w:p>
        </w:tc>
        <w:tc>
          <w:tcPr>
            <w:tcW w:w="1843" w:type="dxa"/>
            <w:shd w:val="clear" w:color="auto" w:fill="auto"/>
            <w:vAlign w:val="center"/>
            <w:hideMark/>
          </w:tcPr>
          <w:p w14:paraId="76537B2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6</w:t>
            </w:r>
          </w:p>
        </w:tc>
        <w:tc>
          <w:tcPr>
            <w:tcW w:w="1701" w:type="dxa"/>
            <w:shd w:val="clear" w:color="auto" w:fill="auto"/>
            <w:vAlign w:val="center"/>
          </w:tcPr>
          <w:p w14:paraId="7BA7BEA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1.950.000,00</w:t>
            </w:r>
          </w:p>
        </w:tc>
        <w:tc>
          <w:tcPr>
            <w:tcW w:w="1701" w:type="dxa"/>
            <w:shd w:val="clear" w:color="auto" w:fill="auto"/>
            <w:noWrap/>
            <w:vAlign w:val="center"/>
            <w:hideMark/>
          </w:tcPr>
          <w:p w14:paraId="6D4953A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975.000,00</w:t>
            </w:r>
          </w:p>
        </w:tc>
        <w:tc>
          <w:tcPr>
            <w:tcW w:w="1559" w:type="dxa"/>
            <w:vAlign w:val="center"/>
          </w:tcPr>
          <w:p w14:paraId="311AD87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6,55%</w:t>
            </w:r>
          </w:p>
        </w:tc>
      </w:tr>
      <w:tr w:rsidR="00130BFD" w:rsidRPr="00130BFD" w14:paraId="34A77475" w14:textId="77777777" w:rsidTr="00130BFD">
        <w:trPr>
          <w:trHeight w:val="222"/>
        </w:trPr>
        <w:tc>
          <w:tcPr>
            <w:tcW w:w="2000" w:type="dxa"/>
            <w:gridSpan w:val="2"/>
            <w:shd w:val="clear" w:color="auto" w:fill="auto"/>
            <w:vAlign w:val="center"/>
            <w:hideMark/>
          </w:tcPr>
          <w:p w14:paraId="77DD887A"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Источно Сарајево</w:t>
            </w:r>
          </w:p>
        </w:tc>
        <w:tc>
          <w:tcPr>
            <w:tcW w:w="1843" w:type="dxa"/>
            <w:shd w:val="clear" w:color="auto" w:fill="auto"/>
            <w:vAlign w:val="center"/>
            <w:hideMark/>
          </w:tcPr>
          <w:p w14:paraId="08C99BD9"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8</w:t>
            </w:r>
          </w:p>
        </w:tc>
        <w:tc>
          <w:tcPr>
            <w:tcW w:w="1701" w:type="dxa"/>
            <w:shd w:val="clear" w:color="auto" w:fill="auto"/>
            <w:vAlign w:val="center"/>
          </w:tcPr>
          <w:p w14:paraId="396C7A1F"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1.230.000,00</w:t>
            </w:r>
          </w:p>
        </w:tc>
        <w:tc>
          <w:tcPr>
            <w:tcW w:w="1701" w:type="dxa"/>
            <w:shd w:val="clear" w:color="auto" w:fill="auto"/>
            <w:noWrap/>
            <w:vAlign w:val="center"/>
            <w:hideMark/>
          </w:tcPr>
          <w:p w14:paraId="1195CA23"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615.000,00</w:t>
            </w:r>
          </w:p>
        </w:tc>
        <w:tc>
          <w:tcPr>
            <w:tcW w:w="1559" w:type="dxa"/>
            <w:vAlign w:val="center"/>
          </w:tcPr>
          <w:p w14:paraId="3A78502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4,13%</w:t>
            </w:r>
          </w:p>
        </w:tc>
      </w:tr>
      <w:tr w:rsidR="00130BFD" w:rsidRPr="00130BFD" w14:paraId="52422478" w14:textId="77777777" w:rsidTr="00130BFD">
        <w:trPr>
          <w:trHeight w:val="222"/>
        </w:trPr>
        <w:tc>
          <w:tcPr>
            <w:tcW w:w="2000" w:type="dxa"/>
            <w:gridSpan w:val="2"/>
            <w:shd w:val="clear" w:color="auto" w:fill="auto"/>
            <w:vAlign w:val="center"/>
            <w:hideMark/>
          </w:tcPr>
          <w:p w14:paraId="172B7E41"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Пале</w:t>
            </w:r>
          </w:p>
        </w:tc>
        <w:tc>
          <w:tcPr>
            <w:tcW w:w="1843" w:type="dxa"/>
            <w:shd w:val="clear" w:color="auto" w:fill="auto"/>
            <w:vAlign w:val="center"/>
            <w:hideMark/>
          </w:tcPr>
          <w:p w14:paraId="7A973D9B"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9</w:t>
            </w:r>
          </w:p>
        </w:tc>
        <w:tc>
          <w:tcPr>
            <w:tcW w:w="1701" w:type="dxa"/>
            <w:shd w:val="clear" w:color="auto" w:fill="auto"/>
            <w:vAlign w:val="center"/>
          </w:tcPr>
          <w:p w14:paraId="172353C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1.105.000,00</w:t>
            </w:r>
          </w:p>
        </w:tc>
        <w:tc>
          <w:tcPr>
            <w:tcW w:w="1701" w:type="dxa"/>
            <w:shd w:val="clear" w:color="auto" w:fill="auto"/>
            <w:noWrap/>
            <w:vAlign w:val="center"/>
            <w:hideMark/>
          </w:tcPr>
          <w:p w14:paraId="4151C57F"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552.500,00</w:t>
            </w:r>
          </w:p>
        </w:tc>
        <w:tc>
          <w:tcPr>
            <w:tcW w:w="1559" w:type="dxa"/>
            <w:vAlign w:val="center"/>
          </w:tcPr>
          <w:p w14:paraId="7912688F"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3,71%</w:t>
            </w:r>
          </w:p>
        </w:tc>
      </w:tr>
      <w:tr w:rsidR="00130BFD" w:rsidRPr="00130BFD" w14:paraId="07D22083" w14:textId="77777777" w:rsidTr="00130BFD">
        <w:trPr>
          <w:trHeight w:val="222"/>
        </w:trPr>
        <w:tc>
          <w:tcPr>
            <w:tcW w:w="2000" w:type="dxa"/>
            <w:gridSpan w:val="2"/>
            <w:shd w:val="clear" w:color="auto" w:fill="auto"/>
            <w:vAlign w:val="center"/>
            <w:hideMark/>
          </w:tcPr>
          <w:p w14:paraId="4E7DE66F"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Теслић</w:t>
            </w:r>
          </w:p>
        </w:tc>
        <w:tc>
          <w:tcPr>
            <w:tcW w:w="1843" w:type="dxa"/>
            <w:shd w:val="clear" w:color="auto" w:fill="auto"/>
            <w:vAlign w:val="center"/>
            <w:hideMark/>
          </w:tcPr>
          <w:p w14:paraId="4EFE1E2B"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4</w:t>
            </w:r>
          </w:p>
        </w:tc>
        <w:tc>
          <w:tcPr>
            <w:tcW w:w="1701" w:type="dxa"/>
            <w:shd w:val="clear" w:color="auto" w:fill="auto"/>
            <w:vAlign w:val="center"/>
          </w:tcPr>
          <w:p w14:paraId="05D83C6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820.000,00</w:t>
            </w:r>
          </w:p>
        </w:tc>
        <w:tc>
          <w:tcPr>
            <w:tcW w:w="1701" w:type="dxa"/>
            <w:shd w:val="clear" w:color="auto" w:fill="auto"/>
            <w:noWrap/>
            <w:vAlign w:val="center"/>
            <w:hideMark/>
          </w:tcPr>
          <w:p w14:paraId="5391FAA8"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410.000,00</w:t>
            </w:r>
          </w:p>
        </w:tc>
        <w:tc>
          <w:tcPr>
            <w:tcW w:w="1559" w:type="dxa"/>
            <w:vAlign w:val="center"/>
          </w:tcPr>
          <w:p w14:paraId="2249E490"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2,76%</w:t>
            </w:r>
          </w:p>
        </w:tc>
      </w:tr>
      <w:tr w:rsidR="00130BFD" w:rsidRPr="00130BFD" w14:paraId="57F928C7" w14:textId="77777777" w:rsidTr="00130BFD">
        <w:trPr>
          <w:trHeight w:val="222"/>
        </w:trPr>
        <w:tc>
          <w:tcPr>
            <w:tcW w:w="2000" w:type="dxa"/>
            <w:gridSpan w:val="2"/>
            <w:shd w:val="clear" w:color="auto" w:fill="auto"/>
            <w:vAlign w:val="center"/>
            <w:hideMark/>
          </w:tcPr>
          <w:p w14:paraId="2335FDE9"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Србац</w:t>
            </w:r>
          </w:p>
        </w:tc>
        <w:tc>
          <w:tcPr>
            <w:tcW w:w="1843" w:type="dxa"/>
            <w:shd w:val="clear" w:color="auto" w:fill="auto"/>
            <w:vAlign w:val="center"/>
            <w:hideMark/>
          </w:tcPr>
          <w:p w14:paraId="695A8F96"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5243535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850.000,00</w:t>
            </w:r>
          </w:p>
        </w:tc>
        <w:tc>
          <w:tcPr>
            <w:tcW w:w="1701" w:type="dxa"/>
            <w:shd w:val="clear" w:color="auto" w:fill="auto"/>
            <w:noWrap/>
            <w:vAlign w:val="center"/>
            <w:hideMark/>
          </w:tcPr>
          <w:p w14:paraId="7BE044DB"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425.000,00</w:t>
            </w:r>
          </w:p>
        </w:tc>
        <w:tc>
          <w:tcPr>
            <w:tcW w:w="1559" w:type="dxa"/>
            <w:vAlign w:val="center"/>
          </w:tcPr>
          <w:p w14:paraId="65BE7E1E"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2,86%</w:t>
            </w:r>
          </w:p>
        </w:tc>
      </w:tr>
      <w:tr w:rsidR="00130BFD" w:rsidRPr="00130BFD" w14:paraId="2D2E2D67" w14:textId="77777777" w:rsidTr="00130BFD">
        <w:trPr>
          <w:trHeight w:val="222"/>
        </w:trPr>
        <w:tc>
          <w:tcPr>
            <w:tcW w:w="2000" w:type="dxa"/>
            <w:gridSpan w:val="2"/>
            <w:shd w:val="clear" w:color="auto" w:fill="auto"/>
            <w:vAlign w:val="center"/>
            <w:hideMark/>
          </w:tcPr>
          <w:p w14:paraId="0C9E3901"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Модрича</w:t>
            </w:r>
          </w:p>
        </w:tc>
        <w:tc>
          <w:tcPr>
            <w:tcW w:w="1843" w:type="dxa"/>
            <w:shd w:val="clear" w:color="auto" w:fill="auto"/>
            <w:vAlign w:val="center"/>
            <w:hideMark/>
          </w:tcPr>
          <w:p w14:paraId="2CFDA59E"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19C7787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840.000,00</w:t>
            </w:r>
          </w:p>
        </w:tc>
        <w:tc>
          <w:tcPr>
            <w:tcW w:w="1701" w:type="dxa"/>
            <w:shd w:val="clear" w:color="auto" w:fill="auto"/>
            <w:noWrap/>
            <w:vAlign w:val="center"/>
            <w:hideMark/>
          </w:tcPr>
          <w:p w14:paraId="14652D7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420.000,00</w:t>
            </w:r>
          </w:p>
        </w:tc>
        <w:tc>
          <w:tcPr>
            <w:tcW w:w="1559" w:type="dxa"/>
            <w:vAlign w:val="center"/>
          </w:tcPr>
          <w:p w14:paraId="088D3B7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2,82%</w:t>
            </w:r>
          </w:p>
        </w:tc>
      </w:tr>
      <w:tr w:rsidR="00130BFD" w:rsidRPr="00130BFD" w14:paraId="0CDAA7E4" w14:textId="77777777" w:rsidTr="00130BFD">
        <w:trPr>
          <w:trHeight w:val="222"/>
        </w:trPr>
        <w:tc>
          <w:tcPr>
            <w:tcW w:w="2000" w:type="dxa"/>
            <w:gridSpan w:val="2"/>
            <w:shd w:val="clear" w:color="auto" w:fill="auto"/>
            <w:vAlign w:val="center"/>
            <w:hideMark/>
          </w:tcPr>
          <w:p w14:paraId="5F90899B"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Билећа</w:t>
            </w:r>
          </w:p>
        </w:tc>
        <w:tc>
          <w:tcPr>
            <w:tcW w:w="1843" w:type="dxa"/>
            <w:shd w:val="clear" w:color="auto" w:fill="auto"/>
            <w:vAlign w:val="center"/>
            <w:hideMark/>
          </w:tcPr>
          <w:p w14:paraId="46FBDA3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46EE96A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900.000,00</w:t>
            </w:r>
          </w:p>
        </w:tc>
        <w:tc>
          <w:tcPr>
            <w:tcW w:w="1701" w:type="dxa"/>
            <w:shd w:val="clear" w:color="auto" w:fill="auto"/>
            <w:noWrap/>
            <w:vAlign w:val="center"/>
            <w:hideMark/>
          </w:tcPr>
          <w:p w14:paraId="4A16E42E"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450.000,00</w:t>
            </w:r>
          </w:p>
        </w:tc>
        <w:tc>
          <w:tcPr>
            <w:tcW w:w="1559" w:type="dxa"/>
            <w:vAlign w:val="center"/>
          </w:tcPr>
          <w:p w14:paraId="6B3C8C2E"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3,02%</w:t>
            </w:r>
          </w:p>
        </w:tc>
      </w:tr>
      <w:tr w:rsidR="00130BFD" w:rsidRPr="00130BFD" w14:paraId="0ED38E6C" w14:textId="77777777" w:rsidTr="00130BFD">
        <w:trPr>
          <w:trHeight w:val="222"/>
        </w:trPr>
        <w:tc>
          <w:tcPr>
            <w:tcW w:w="2000" w:type="dxa"/>
            <w:gridSpan w:val="2"/>
            <w:shd w:val="clear" w:color="auto" w:fill="auto"/>
            <w:vAlign w:val="center"/>
            <w:hideMark/>
          </w:tcPr>
          <w:p w14:paraId="3B678DF3"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Рогатица</w:t>
            </w:r>
          </w:p>
        </w:tc>
        <w:tc>
          <w:tcPr>
            <w:tcW w:w="1843" w:type="dxa"/>
            <w:shd w:val="clear" w:color="auto" w:fill="auto"/>
            <w:vAlign w:val="center"/>
            <w:hideMark/>
          </w:tcPr>
          <w:p w14:paraId="0EBD7EFE"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16BD965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180.000,00</w:t>
            </w:r>
          </w:p>
        </w:tc>
        <w:tc>
          <w:tcPr>
            <w:tcW w:w="1701" w:type="dxa"/>
            <w:shd w:val="clear" w:color="auto" w:fill="auto"/>
            <w:noWrap/>
            <w:vAlign w:val="center"/>
            <w:hideMark/>
          </w:tcPr>
          <w:p w14:paraId="023D46B3"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90.000,00</w:t>
            </w:r>
          </w:p>
        </w:tc>
        <w:tc>
          <w:tcPr>
            <w:tcW w:w="1559" w:type="dxa"/>
            <w:vAlign w:val="center"/>
          </w:tcPr>
          <w:p w14:paraId="03CDF24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0,60%</w:t>
            </w:r>
          </w:p>
        </w:tc>
      </w:tr>
      <w:tr w:rsidR="00130BFD" w:rsidRPr="00130BFD" w14:paraId="2228A654" w14:textId="77777777" w:rsidTr="00130BFD">
        <w:trPr>
          <w:trHeight w:val="222"/>
        </w:trPr>
        <w:tc>
          <w:tcPr>
            <w:tcW w:w="2000" w:type="dxa"/>
            <w:gridSpan w:val="2"/>
            <w:shd w:val="clear" w:color="auto" w:fill="auto"/>
            <w:vAlign w:val="center"/>
            <w:hideMark/>
          </w:tcPr>
          <w:p w14:paraId="650B716E"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Соколац</w:t>
            </w:r>
          </w:p>
        </w:tc>
        <w:tc>
          <w:tcPr>
            <w:tcW w:w="1843" w:type="dxa"/>
            <w:shd w:val="clear" w:color="auto" w:fill="auto"/>
            <w:vAlign w:val="center"/>
            <w:hideMark/>
          </w:tcPr>
          <w:p w14:paraId="030B805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4</w:t>
            </w:r>
          </w:p>
        </w:tc>
        <w:tc>
          <w:tcPr>
            <w:tcW w:w="1701" w:type="dxa"/>
            <w:shd w:val="clear" w:color="auto" w:fill="auto"/>
            <w:vAlign w:val="center"/>
          </w:tcPr>
          <w:p w14:paraId="6B48211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1.030.000,01</w:t>
            </w:r>
          </w:p>
        </w:tc>
        <w:tc>
          <w:tcPr>
            <w:tcW w:w="1701" w:type="dxa"/>
            <w:shd w:val="clear" w:color="auto" w:fill="auto"/>
            <w:noWrap/>
            <w:vAlign w:val="center"/>
            <w:hideMark/>
          </w:tcPr>
          <w:p w14:paraId="492A36C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515.000,01</w:t>
            </w:r>
          </w:p>
        </w:tc>
        <w:tc>
          <w:tcPr>
            <w:tcW w:w="1559" w:type="dxa"/>
            <w:vAlign w:val="center"/>
          </w:tcPr>
          <w:p w14:paraId="7383CBA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3,46%</w:t>
            </w:r>
          </w:p>
        </w:tc>
      </w:tr>
      <w:tr w:rsidR="00130BFD" w:rsidRPr="00130BFD" w14:paraId="4B1B0FCF" w14:textId="77777777" w:rsidTr="00130BFD">
        <w:trPr>
          <w:trHeight w:val="222"/>
        </w:trPr>
        <w:tc>
          <w:tcPr>
            <w:tcW w:w="2000" w:type="dxa"/>
            <w:gridSpan w:val="2"/>
            <w:shd w:val="clear" w:color="auto" w:fill="auto"/>
            <w:vAlign w:val="center"/>
            <w:hideMark/>
          </w:tcPr>
          <w:p w14:paraId="0C81A44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Милићи</w:t>
            </w:r>
          </w:p>
        </w:tc>
        <w:tc>
          <w:tcPr>
            <w:tcW w:w="1843" w:type="dxa"/>
            <w:shd w:val="clear" w:color="auto" w:fill="auto"/>
            <w:vAlign w:val="center"/>
            <w:hideMark/>
          </w:tcPr>
          <w:p w14:paraId="648827B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56693F5F"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noWrap/>
            <w:vAlign w:val="center"/>
            <w:hideMark/>
          </w:tcPr>
          <w:p w14:paraId="1EB104D1"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vAlign w:val="center"/>
          </w:tcPr>
          <w:p w14:paraId="08128F9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338ADD18" w14:textId="77777777" w:rsidTr="00130BFD">
        <w:trPr>
          <w:trHeight w:val="222"/>
        </w:trPr>
        <w:tc>
          <w:tcPr>
            <w:tcW w:w="2000" w:type="dxa"/>
            <w:gridSpan w:val="2"/>
            <w:shd w:val="clear" w:color="auto" w:fill="auto"/>
            <w:vAlign w:val="center"/>
            <w:hideMark/>
          </w:tcPr>
          <w:p w14:paraId="683A5961"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Градишка</w:t>
            </w:r>
          </w:p>
        </w:tc>
        <w:tc>
          <w:tcPr>
            <w:tcW w:w="1843" w:type="dxa"/>
            <w:shd w:val="clear" w:color="auto" w:fill="auto"/>
            <w:vAlign w:val="center"/>
            <w:hideMark/>
          </w:tcPr>
          <w:p w14:paraId="2183CEA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589AE20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268.000,00</w:t>
            </w:r>
          </w:p>
        </w:tc>
        <w:tc>
          <w:tcPr>
            <w:tcW w:w="1701" w:type="dxa"/>
            <w:shd w:val="clear" w:color="auto" w:fill="auto"/>
            <w:noWrap/>
            <w:vAlign w:val="center"/>
            <w:hideMark/>
          </w:tcPr>
          <w:p w14:paraId="48DD59AB"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134.000,00</w:t>
            </w:r>
          </w:p>
        </w:tc>
        <w:tc>
          <w:tcPr>
            <w:tcW w:w="1559" w:type="dxa"/>
            <w:vAlign w:val="center"/>
          </w:tcPr>
          <w:p w14:paraId="6EC5C10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0,90%</w:t>
            </w:r>
          </w:p>
        </w:tc>
      </w:tr>
      <w:tr w:rsidR="00130BFD" w:rsidRPr="00130BFD" w14:paraId="593D0E4B" w14:textId="77777777" w:rsidTr="00130BFD">
        <w:trPr>
          <w:trHeight w:val="222"/>
        </w:trPr>
        <w:tc>
          <w:tcPr>
            <w:tcW w:w="2000" w:type="dxa"/>
            <w:gridSpan w:val="2"/>
            <w:shd w:val="clear" w:color="auto" w:fill="auto"/>
            <w:vAlign w:val="center"/>
            <w:hideMark/>
          </w:tcPr>
          <w:p w14:paraId="7150BA5B"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Котор Варош</w:t>
            </w:r>
          </w:p>
        </w:tc>
        <w:tc>
          <w:tcPr>
            <w:tcW w:w="1843" w:type="dxa"/>
            <w:shd w:val="clear" w:color="auto" w:fill="auto"/>
            <w:vAlign w:val="center"/>
            <w:hideMark/>
          </w:tcPr>
          <w:p w14:paraId="410A30B1"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3EFAC50D"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1.049.999,99</w:t>
            </w:r>
          </w:p>
        </w:tc>
        <w:tc>
          <w:tcPr>
            <w:tcW w:w="1701" w:type="dxa"/>
            <w:shd w:val="clear" w:color="auto" w:fill="auto"/>
            <w:noWrap/>
            <w:vAlign w:val="center"/>
            <w:hideMark/>
          </w:tcPr>
          <w:p w14:paraId="356659E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525.000,00</w:t>
            </w:r>
          </w:p>
        </w:tc>
        <w:tc>
          <w:tcPr>
            <w:tcW w:w="1559" w:type="dxa"/>
            <w:vAlign w:val="center"/>
          </w:tcPr>
          <w:p w14:paraId="32935553"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3,53%</w:t>
            </w:r>
          </w:p>
        </w:tc>
      </w:tr>
      <w:tr w:rsidR="00130BFD" w:rsidRPr="00130BFD" w14:paraId="2FA51FE5" w14:textId="77777777" w:rsidTr="00130BFD">
        <w:trPr>
          <w:trHeight w:val="222"/>
        </w:trPr>
        <w:tc>
          <w:tcPr>
            <w:tcW w:w="2000" w:type="dxa"/>
            <w:gridSpan w:val="2"/>
            <w:shd w:val="clear" w:color="auto" w:fill="auto"/>
            <w:vAlign w:val="center"/>
            <w:hideMark/>
          </w:tcPr>
          <w:p w14:paraId="165A357B"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Зворник</w:t>
            </w:r>
          </w:p>
        </w:tc>
        <w:tc>
          <w:tcPr>
            <w:tcW w:w="1843" w:type="dxa"/>
            <w:shd w:val="clear" w:color="auto" w:fill="auto"/>
            <w:vAlign w:val="center"/>
            <w:hideMark/>
          </w:tcPr>
          <w:p w14:paraId="1DC2682F"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462384E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vAlign w:val="center"/>
            <w:hideMark/>
          </w:tcPr>
          <w:p w14:paraId="5BAE63B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shd w:val="clear" w:color="auto" w:fill="auto"/>
            <w:noWrap/>
            <w:vAlign w:val="center"/>
            <w:hideMark/>
          </w:tcPr>
          <w:p w14:paraId="4C3530F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758C971A" w14:textId="77777777" w:rsidTr="00130BFD">
        <w:trPr>
          <w:trHeight w:val="222"/>
        </w:trPr>
        <w:tc>
          <w:tcPr>
            <w:tcW w:w="2000" w:type="dxa"/>
            <w:gridSpan w:val="2"/>
            <w:shd w:val="clear" w:color="auto" w:fill="auto"/>
            <w:vAlign w:val="center"/>
            <w:hideMark/>
          </w:tcPr>
          <w:p w14:paraId="6CC560B1"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Угљевик</w:t>
            </w:r>
          </w:p>
        </w:tc>
        <w:tc>
          <w:tcPr>
            <w:tcW w:w="1843" w:type="dxa"/>
            <w:shd w:val="clear" w:color="auto" w:fill="auto"/>
            <w:vAlign w:val="center"/>
            <w:hideMark/>
          </w:tcPr>
          <w:p w14:paraId="6B1B5199"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1216389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320.000,00</w:t>
            </w:r>
          </w:p>
        </w:tc>
        <w:tc>
          <w:tcPr>
            <w:tcW w:w="1701" w:type="dxa"/>
            <w:shd w:val="clear" w:color="auto" w:fill="auto"/>
            <w:vAlign w:val="center"/>
            <w:hideMark/>
          </w:tcPr>
          <w:p w14:paraId="7986DDB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160.000,00</w:t>
            </w:r>
          </w:p>
        </w:tc>
        <w:tc>
          <w:tcPr>
            <w:tcW w:w="1559" w:type="dxa"/>
            <w:shd w:val="clear" w:color="auto" w:fill="auto"/>
            <w:noWrap/>
            <w:vAlign w:val="center"/>
            <w:hideMark/>
          </w:tcPr>
          <w:p w14:paraId="45F57B6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1,08%</w:t>
            </w:r>
          </w:p>
        </w:tc>
      </w:tr>
      <w:tr w:rsidR="00130BFD" w:rsidRPr="00130BFD" w14:paraId="4396F3E0" w14:textId="77777777" w:rsidTr="00130BFD">
        <w:trPr>
          <w:trHeight w:val="222"/>
        </w:trPr>
        <w:tc>
          <w:tcPr>
            <w:tcW w:w="2000" w:type="dxa"/>
            <w:gridSpan w:val="2"/>
            <w:shd w:val="clear" w:color="auto" w:fill="auto"/>
            <w:vAlign w:val="center"/>
            <w:hideMark/>
          </w:tcPr>
          <w:p w14:paraId="2D8DBB7B"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Требиње</w:t>
            </w:r>
          </w:p>
        </w:tc>
        <w:tc>
          <w:tcPr>
            <w:tcW w:w="1843" w:type="dxa"/>
            <w:shd w:val="clear" w:color="auto" w:fill="auto"/>
            <w:vAlign w:val="center"/>
            <w:hideMark/>
          </w:tcPr>
          <w:p w14:paraId="315E1B0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2409280"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174.000,00</w:t>
            </w:r>
          </w:p>
        </w:tc>
        <w:tc>
          <w:tcPr>
            <w:tcW w:w="1701" w:type="dxa"/>
            <w:shd w:val="clear" w:color="auto" w:fill="auto"/>
            <w:vAlign w:val="center"/>
            <w:hideMark/>
          </w:tcPr>
          <w:p w14:paraId="0240E4A3"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87.000,00</w:t>
            </w:r>
          </w:p>
        </w:tc>
        <w:tc>
          <w:tcPr>
            <w:tcW w:w="1559" w:type="dxa"/>
            <w:shd w:val="clear" w:color="auto" w:fill="auto"/>
            <w:noWrap/>
            <w:vAlign w:val="center"/>
            <w:hideMark/>
          </w:tcPr>
          <w:p w14:paraId="0E8FF42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0,58%</w:t>
            </w:r>
          </w:p>
        </w:tc>
      </w:tr>
      <w:tr w:rsidR="00130BFD" w:rsidRPr="00130BFD" w14:paraId="21637637" w14:textId="77777777" w:rsidTr="00130BFD">
        <w:trPr>
          <w:trHeight w:val="222"/>
        </w:trPr>
        <w:tc>
          <w:tcPr>
            <w:tcW w:w="2000" w:type="dxa"/>
            <w:gridSpan w:val="2"/>
            <w:shd w:val="clear" w:color="auto" w:fill="auto"/>
            <w:vAlign w:val="center"/>
            <w:hideMark/>
          </w:tcPr>
          <w:p w14:paraId="1116BDED"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Лакташи</w:t>
            </w:r>
          </w:p>
        </w:tc>
        <w:tc>
          <w:tcPr>
            <w:tcW w:w="1843" w:type="dxa"/>
            <w:shd w:val="clear" w:color="auto" w:fill="auto"/>
            <w:vAlign w:val="center"/>
            <w:hideMark/>
          </w:tcPr>
          <w:p w14:paraId="3080DD6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5ABB7E81"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980.000,00</w:t>
            </w:r>
          </w:p>
        </w:tc>
        <w:tc>
          <w:tcPr>
            <w:tcW w:w="1701" w:type="dxa"/>
            <w:shd w:val="clear" w:color="auto" w:fill="auto"/>
            <w:vAlign w:val="center"/>
            <w:hideMark/>
          </w:tcPr>
          <w:p w14:paraId="65F107E2"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490.000,00</w:t>
            </w:r>
          </w:p>
        </w:tc>
        <w:tc>
          <w:tcPr>
            <w:tcW w:w="1559" w:type="dxa"/>
            <w:shd w:val="clear" w:color="auto" w:fill="auto"/>
            <w:noWrap/>
            <w:vAlign w:val="center"/>
            <w:hideMark/>
          </w:tcPr>
          <w:p w14:paraId="6AC84DF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3,29%</w:t>
            </w:r>
          </w:p>
        </w:tc>
      </w:tr>
      <w:tr w:rsidR="00130BFD" w:rsidRPr="00130BFD" w14:paraId="5CEC98C7" w14:textId="77777777" w:rsidTr="00130BFD">
        <w:trPr>
          <w:trHeight w:val="222"/>
        </w:trPr>
        <w:tc>
          <w:tcPr>
            <w:tcW w:w="2000" w:type="dxa"/>
            <w:gridSpan w:val="2"/>
            <w:shd w:val="clear" w:color="auto" w:fill="auto"/>
            <w:vAlign w:val="center"/>
            <w:hideMark/>
          </w:tcPr>
          <w:p w14:paraId="7FBAD71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Петрово</w:t>
            </w:r>
          </w:p>
        </w:tc>
        <w:tc>
          <w:tcPr>
            <w:tcW w:w="1843" w:type="dxa"/>
            <w:shd w:val="clear" w:color="auto" w:fill="auto"/>
            <w:vAlign w:val="center"/>
            <w:hideMark/>
          </w:tcPr>
          <w:p w14:paraId="3DDABFF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C04019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10BDA592"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56858FD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0A23B508" w14:textId="77777777" w:rsidTr="00130BFD">
        <w:trPr>
          <w:trHeight w:val="222"/>
        </w:trPr>
        <w:tc>
          <w:tcPr>
            <w:tcW w:w="2000" w:type="dxa"/>
            <w:gridSpan w:val="2"/>
            <w:shd w:val="clear" w:color="auto" w:fill="auto"/>
            <w:vAlign w:val="center"/>
            <w:hideMark/>
          </w:tcPr>
          <w:p w14:paraId="7BADEA6C"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Прњавор</w:t>
            </w:r>
          </w:p>
        </w:tc>
        <w:tc>
          <w:tcPr>
            <w:tcW w:w="1843" w:type="dxa"/>
            <w:shd w:val="clear" w:color="auto" w:fill="auto"/>
            <w:vAlign w:val="center"/>
            <w:hideMark/>
          </w:tcPr>
          <w:p w14:paraId="5A073329"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61428488"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1.000.000,00</w:t>
            </w:r>
          </w:p>
        </w:tc>
        <w:tc>
          <w:tcPr>
            <w:tcW w:w="1701" w:type="dxa"/>
            <w:shd w:val="clear" w:color="auto" w:fill="auto"/>
            <w:vAlign w:val="center"/>
            <w:hideMark/>
          </w:tcPr>
          <w:p w14:paraId="4FE3510A"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500.000,00</w:t>
            </w:r>
          </w:p>
        </w:tc>
        <w:tc>
          <w:tcPr>
            <w:tcW w:w="1559" w:type="dxa"/>
            <w:shd w:val="clear" w:color="auto" w:fill="auto"/>
            <w:noWrap/>
            <w:vAlign w:val="center"/>
            <w:hideMark/>
          </w:tcPr>
          <w:p w14:paraId="5EA8BB3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3,36%</w:t>
            </w:r>
          </w:p>
        </w:tc>
      </w:tr>
      <w:tr w:rsidR="00130BFD" w:rsidRPr="00130BFD" w14:paraId="555879DD" w14:textId="77777777" w:rsidTr="00130BFD">
        <w:trPr>
          <w:trHeight w:val="222"/>
        </w:trPr>
        <w:tc>
          <w:tcPr>
            <w:tcW w:w="2000" w:type="dxa"/>
            <w:gridSpan w:val="2"/>
            <w:shd w:val="clear" w:color="auto" w:fill="auto"/>
            <w:vAlign w:val="center"/>
            <w:hideMark/>
          </w:tcPr>
          <w:p w14:paraId="16E4AB4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Кнежево</w:t>
            </w:r>
          </w:p>
        </w:tc>
        <w:tc>
          <w:tcPr>
            <w:tcW w:w="1843" w:type="dxa"/>
            <w:shd w:val="clear" w:color="auto" w:fill="auto"/>
            <w:vAlign w:val="center"/>
            <w:hideMark/>
          </w:tcPr>
          <w:p w14:paraId="5D8BA58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515AD522"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w:t>
            </w:r>
          </w:p>
        </w:tc>
        <w:tc>
          <w:tcPr>
            <w:tcW w:w="1701" w:type="dxa"/>
            <w:shd w:val="clear" w:color="auto" w:fill="auto"/>
            <w:vAlign w:val="center"/>
            <w:hideMark/>
          </w:tcPr>
          <w:p w14:paraId="24AF5B0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25.000,00</w:t>
            </w:r>
          </w:p>
        </w:tc>
        <w:tc>
          <w:tcPr>
            <w:tcW w:w="1559" w:type="dxa"/>
            <w:shd w:val="clear" w:color="auto" w:fill="auto"/>
            <w:noWrap/>
            <w:vAlign w:val="center"/>
            <w:hideMark/>
          </w:tcPr>
          <w:p w14:paraId="764522E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0,17%</w:t>
            </w:r>
          </w:p>
        </w:tc>
      </w:tr>
      <w:tr w:rsidR="00130BFD" w:rsidRPr="00130BFD" w14:paraId="46B59EB7" w14:textId="77777777" w:rsidTr="00130BFD">
        <w:trPr>
          <w:trHeight w:val="222"/>
        </w:trPr>
        <w:tc>
          <w:tcPr>
            <w:tcW w:w="2000" w:type="dxa"/>
            <w:gridSpan w:val="2"/>
            <w:shd w:val="clear" w:color="auto" w:fill="auto"/>
            <w:vAlign w:val="center"/>
            <w:hideMark/>
          </w:tcPr>
          <w:p w14:paraId="3E4808FF"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Козарска Дубица</w:t>
            </w:r>
          </w:p>
        </w:tc>
        <w:tc>
          <w:tcPr>
            <w:tcW w:w="1843" w:type="dxa"/>
            <w:shd w:val="clear" w:color="auto" w:fill="auto"/>
            <w:vAlign w:val="center"/>
            <w:hideMark/>
          </w:tcPr>
          <w:p w14:paraId="6C8E062F"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1F903A5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7B1A68BA"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3F309AF6"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023B88CD" w14:textId="77777777" w:rsidTr="00130BFD">
        <w:trPr>
          <w:trHeight w:val="222"/>
        </w:trPr>
        <w:tc>
          <w:tcPr>
            <w:tcW w:w="2000" w:type="dxa"/>
            <w:gridSpan w:val="2"/>
            <w:shd w:val="clear" w:color="auto" w:fill="auto"/>
            <w:vAlign w:val="center"/>
            <w:hideMark/>
          </w:tcPr>
          <w:p w14:paraId="4096BA0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Брчко Дистрикт</w:t>
            </w:r>
          </w:p>
        </w:tc>
        <w:tc>
          <w:tcPr>
            <w:tcW w:w="1843" w:type="dxa"/>
            <w:shd w:val="clear" w:color="auto" w:fill="auto"/>
            <w:vAlign w:val="center"/>
            <w:hideMark/>
          </w:tcPr>
          <w:p w14:paraId="716B9FCB"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48DE153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w:t>
            </w:r>
          </w:p>
        </w:tc>
        <w:tc>
          <w:tcPr>
            <w:tcW w:w="1701" w:type="dxa"/>
            <w:shd w:val="clear" w:color="auto" w:fill="auto"/>
            <w:vAlign w:val="center"/>
            <w:hideMark/>
          </w:tcPr>
          <w:p w14:paraId="0AE1FE50"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7.500,00</w:t>
            </w:r>
          </w:p>
        </w:tc>
        <w:tc>
          <w:tcPr>
            <w:tcW w:w="1559" w:type="dxa"/>
            <w:shd w:val="clear" w:color="auto" w:fill="auto"/>
            <w:noWrap/>
            <w:vAlign w:val="center"/>
            <w:hideMark/>
          </w:tcPr>
          <w:p w14:paraId="1AE5F02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0,05%</w:t>
            </w:r>
          </w:p>
        </w:tc>
      </w:tr>
      <w:tr w:rsidR="00130BFD" w:rsidRPr="00130BFD" w14:paraId="6D31C082" w14:textId="77777777" w:rsidTr="00130BFD">
        <w:trPr>
          <w:trHeight w:val="222"/>
        </w:trPr>
        <w:tc>
          <w:tcPr>
            <w:tcW w:w="2000" w:type="dxa"/>
            <w:gridSpan w:val="2"/>
            <w:shd w:val="clear" w:color="auto" w:fill="auto"/>
            <w:vAlign w:val="center"/>
            <w:hideMark/>
          </w:tcPr>
          <w:p w14:paraId="40FBD885"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Чајниче</w:t>
            </w:r>
          </w:p>
        </w:tc>
        <w:tc>
          <w:tcPr>
            <w:tcW w:w="1843" w:type="dxa"/>
            <w:shd w:val="clear" w:color="auto" w:fill="auto"/>
            <w:vAlign w:val="center"/>
            <w:hideMark/>
          </w:tcPr>
          <w:p w14:paraId="18AE3B11"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6F1CAFF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vAlign w:val="center"/>
            <w:hideMark/>
          </w:tcPr>
          <w:p w14:paraId="3A98CC03"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shd w:val="clear" w:color="auto" w:fill="auto"/>
            <w:noWrap/>
            <w:vAlign w:val="center"/>
            <w:hideMark/>
          </w:tcPr>
          <w:p w14:paraId="12D76B08"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3054FC25" w14:textId="77777777" w:rsidTr="00130BFD">
        <w:trPr>
          <w:trHeight w:val="274"/>
        </w:trPr>
        <w:tc>
          <w:tcPr>
            <w:tcW w:w="2000" w:type="dxa"/>
            <w:gridSpan w:val="2"/>
            <w:shd w:val="clear" w:color="auto" w:fill="auto"/>
            <w:vAlign w:val="center"/>
            <w:hideMark/>
          </w:tcPr>
          <w:p w14:paraId="28B33AAE"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Љубиње</w:t>
            </w:r>
          </w:p>
        </w:tc>
        <w:tc>
          <w:tcPr>
            <w:tcW w:w="1843" w:type="dxa"/>
            <w:shd w:val="clear" w:color="auto" w:fill="auto"/>
            <w:vAlign w:val="center"/>
            <w:hideMark/>
          </w:tcPr>
          <w:p w14:paraId="7EDEFDFF"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4BC3293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19109C9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2D54FC0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281C6016" w14:textId="77777777" w:rsidTr="00130BFD">
        <w:trPr>
          <w:trHeight w:val="255"/>
        </w:trPr>
        <w:tc>
          <w:tcPr>
            <w:tcW w:w="2000" w:type="dxa"/>
            <w:gridSpan w:val="2"/>
            <w:shd w:val="clear" w:color="auto" w:fill="auto"/>
            <w:vAlign w:val="center"/>
            <w:hideMark/>
          </w:tcPr>
          <w:p w14:paraId="4759F759"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Невесиње</w:t>
            </w:r>
          </w:p>
        </w:tc>
        <w:tc>
          <w:tcPr>
            <w:tcW w:w="1843" w:type="dxa"/>
            <w:shd w:val="clear" w:color="auto" w:fill="auto"/>
            <w:vAlign w:val="center"/>
            <w:hideMark/>
          </w:tcPr>
          <w:p w14:paraId="6172FE5A"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1394A78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355.000,00</w:t>
            </w:r>
          </w:p>
        </w:tc>
        <w:tc>
          <w:tcPr>
            <w:tcW w:w="1701" w:type="dxa"/>
            <w:shd w:val="clear" w:color="auto" w:fill="auto"/>
            <w:vAlign w:val="center"/>
            <w:hideMark/>
          </w:tcPr>
          <w:p w14:paraId="48EC926E"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177.500,00</w:t>
            </w:r>
          </w:p>
        </w:tc>
        <w:tc>
          <w:tcPr>
            <w:tcW w:w="1559" w:type="dxa"/>
            <w:shd w:val="clear" w:color="auto" w:fill="auto"/>
            <w:noWrap/>
            <w:vAlign w:val="center"/>
            <w:hideMark/>
          </w:tcPr>
          <w:p w14:paraId="36BA675E"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1,19%</w:t>
            </w:r>
          </w:p>
        </w:tc>
      </w:tr>
      <w:tr w:rsidR="00130BFD" w:rsidRPr="00130BFD" w14:paraId="337990F5" w14:textId="77777777" w:rsidTr="00130BFD">
        <w:trPr>
          <w:trHeight w:val="255"/>
        </w:trPr>
        <w:tc>
          <w:tcPr>
            <w:tcW w:w="2000" w:type="dxa"/>
            <w:gridSpan w:val="2"/>
            <w:shd w:val="clear" w:color="auto" w:fill="auto"/>
            <w:vAlign w:val="center"/>
            <w:hideMark/>
          </w:tcPr>
          <w:p w14:paraId="639EE4C9"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Шековићи</w:t>
            </w:r>
          </w:p>
        </w:tc>
        <w:tc>
          <w:tcPr>
            <w:tcW w:w="1843" w:type="dxa"/>
            <w:shd w:val="clear" w:color="auto" w:fill="auto"/>
            <w:vAlign w:val="center"/>
            <w:hideMark/>
          </w:tcPr>
          <w:p w14:paraId="61BBE715"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09CF855"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1.000.000,00</w:t>
            </w:r>
          </w:p>
        </w:tc>
        <w:tc>
          <w:tcPr>
            <w:tcW w:w="1701" w:type="dxa"/>
            <w:shd w:val="clear" w:color="auto" w:fill="auto"/>
            <w:vAlign w:val="center"/>
            <w:hideMark/>
          </w:tcPr>
          <w:p w14:paraId="20EF9758"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500.000,00</w:t>
            </w:r>
          </w:p>
        </w:tc>
        <w:tc>
          <w:tcPr>
            <w:tcW w:w="1559" w:type="dxa"/>
            <w:shd w:val="clear" w:color="auto" w:fill="auto"/>
            <w:noWrap/>
            <w:vAlign w:val="center"/>
            <w:hideMark/>
          </w:tcPr>
          <w:p w14:paraId="228DC2DE"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3,36%</w:t>
            </w:r>
          </w:p>
        </w:tc>
      </w:tr>
      <w:tr w:rsidR="00130BFD" w:rsidRPr="00130BFD" w14:paraId="201708F7" w14:textId="77777777" w:rsidTr="00BC6981">
        <w:trPr>
          <w:trHeight w:val="255"/>
        </w:trPr>
        <w:tc>
          <w:tcPr>
            <w:tcW w:w="2000" w:type="dxa"/>
            <w:gridSpan w:val="2"/>
            <w:shd w:val="clear" w:color="auto" w:fill="8DB3E2" w:themeFill="text2" w:themeFillTint="66"/>
            <w:vAlign w:val="center"/>
          </w:tcPr>
          <w:p w14:paraId="59BAE214" w14:textId="77777777" w:rsidR="00130BFD" w:rsidRPr="00130BFD" w:rsidRDefault="00130BFD" w:rsidP="008A780A">
            <w:pPr>
              <w:jc w:val="center"/>
              <w:rPr>
                <w:rFonts w:asciiTheme="minorHAnsi" w:hAnsiTheme="minorHAnsi" w:cs="Microsoft Sans Serif"/>
                <w:b/>
                <w:sz w:val="18"/>
                <w:szCs w:val="18"/>
                <w:lang w:val="sr-Cyrl-RS"/>
              </w:rPr>
            </w:pPr>
            <w:r w:rsidRPr="00130BFD">
              <w:rPr>
                <w:rFonts w:asciiTheme="minorHAnsi" w:hAnsiTheme="minorHAnsi" w:cs="Microsoft Sans Serif"/>
                <w:b/>
                <w:sz w:val="18"/>
                <w:szCs w:val="18"/>
                <w:lang w:val="sr-Cyrl-RS"/>
              </w:rPr>
              <w:t>УКУПНО</w:t>
            </w:r>
          </w:p>
        </w:tc>
        <w:tc>
          <w:tcPr>
            <w:tcW w:w="1843" w:type="dxa"/>
            <w:shd w:val="clear" w:color="auto" w:fill="8DB3E2" w:themeFill="text2" w:themeFillTint="66"/>
            <w:vAlign w:val="center"/>
          </w:tcPr>
          <w:p w14:paraId="717FFE01" w14:textId="77777777" w:rsidR="00130BFD" w:rsidRPr="00130BFD" w:rsidRDefault="00130BFD">
            <w:pPr>
              <w:jc w:val="center"/>
              <w:rPr>
                <w:rFonts w:asciiTheme="minorHAnsi" w:hAnsiTheme="minorHAnsi" w:cs="Microsoft Sans Serif"/>
                <w:b/>
                <w:sz w:val="18"/>
                <w:szCs w:val="18"/>
                <w:lang w:val="sr-Cyrl-RS"/>
              </w:rPr>
            </w:pPr>
            <w:r>
              <w:rPr>
                <w:rFonts w:asciiTheme="minorHAnsi" w:hAnsiTheme="minorHAnsi" w:cs="Microsoft Sans Serif"/>
                <w:b/>
                <w:sz w:val="18"/>
                <w:szCs w:val="18"/>
                <w:lang w:val="sr-Cyrl-RS"/>
              </w:rPr>
              <w:t>122</w:t>
            </w:r>
          </w:p>
        </w:tc>
        <w:tc>
          <w:tcPr>
            <w:tcW w:w="1701" w:type="dxa"/>
            <w:shd w:val="clear" w:color="auto" w:fill="8DB3E2" w:themeFill="text2" w:themeFillTint="66"/>
            <w:vAlign w:val="center"/>
          </w:tcPr>
          <w:p w14:paraId="564061B3" w14:textId="77777777" w:rsidR="00130BFD" w:rsidRPr="008A780A" w:rsidRDefault="00130BFD" w:rsidP="00130BFD">
            <w:pPr>
              <w:jc w:val="right"/>
              <w:rPr>
                <w:rFonts w:asciiTheme="minorHAnsi" w:hAnsiTheme="minorHAnsi" w:cs="Microsoft Sans Serif"/>
                <w:b/>
                <w:bCs/>
                <w:sz w:val="18"/>
                <w:szCs w:val="18"/>
              </w:rPr>
            </w:pPr>
            <w:r w:rsidRPr="008A780A">
              <w:rPr>
                <w:rFonts w:asciiTheme="minorHAnsi" w:hAnsiTheme="minorHAnsi" w:cs="Microsoft Sans Serif"/>
                <w:b/>
                <w:bCs/>
                <w:sz w:val="18"/>
                <w:szCs w:val="18"/>
              </w:rPr>
              <w:t>29.762.000,03</w:t>
            </w:r>
          </w:p>
        </w:tc>
        <w:tc>
          <w:tcPr>
            <w:tcW w:w="1701" w:type="dxa"/>
            <w:shd w:val="clear" w:color="auto" w:fill="8DB3E2" w:themeFill="text2" w:themeFillTint="66"/>
            <w:vAlign w:val="center"/>
          </w:tcPr>
          <w:p w14:paraId="7EF0FB3F" w14:textId="77777777" w:rsidR="00130BFD" w:rsidRPr="008A780A" w:rsidRDefault="00130BFD" w:rsidP="00130BFD">
            <w:pPr>
              <w:jc w:val="right"/>
              <w:rPr>
                <w:rFonts w:asciiTheme="minorHAnsi" w:hAnsiTheme="minorHAnsi" w:cs="Microsoft Sans Serif"/>
                <w:b/>
                <w:bCs/>
                <w:sz w:val="18"/>
                <w:szCs w:val="18"/>
                <w:lang w:val="sr-Cyrl-RS"/>
              </w:rPr>
            </w:pPr>
            <w:r w:rsidRPr="008A780A">
              <w:rPr>
                <w:rFonts w:asciiTheme="minorHAnsi" w:hAnsiTheme="minorHAnsi" w:cs="Microsoft Sans Serif"/>
                <w:b/>
                <w:bCs/>
                <w:sz w:val="18"/>
                <w:szCs w:val="18"/>
                <w:lang w:val="sr-Cyrl-RS"/>
              </w:rPr>
              <w:t>14.881.000,03</w:t>
            </w:r>
          </w:p>
        </w:tc>
        <w:tc>
          <w:tcPr>
            <w:tcW w:w="1559" w:type="dxa"/>
            <w:shd w:val="clear" w:color="auto" w:fill="8DB3E2" w:themeFill="text2" w:themeFillTint="66"/>
            <w:noWrap/>
            <w:vAlign w:val="center"/>
          </w:tcPr>
          <w:p w14:paraId="7DE39D50" w14:textId="77777777" w:rsidR="00130BFD" w:rsidRPr="008A780A" w:rsidRDefault="00130BFD">
            <w:pPr>
              <w:jc w:val="right"/>
              <w:rPr>
                <w:rFonts w:asciiTheme="minorHAnsi" w:hAnsiTheme="minorHAnsi" w:cs="Microsoft Sans Serif"/>
                <w:b/>
                <w:sz w:val="18"/>
                <w:szCs w:val="18"/>
                <w:lang w:val="sr-Cyrl-RS"/>
              </w:rPr>
            </w:pPr>
            <w:r w:rsidRPr="008A780A">
              <w:rPr>
                <w:rFonts w:asciiTheme="minorHAnsi" w:hAnsiTheme="minorHAnsi" w:cs="Microsoft Sans Serif"/>
                <w:b/>
                <w:sz w:val="18"/>
                <w:szCs w:val="18"/>
                <w:lang w:val="sr-Cyrl-RS"/>
              </w:rPr>
              <w:t>100,00%</w:t>
            </w:r>
          </w:p>
        </w:tc>
      </w:tr>
    </w:tbl>
    <w:p w14:paraId="2EBFABCC"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0A2E7034" w14:textId="77777777" w:rsidR="001538EF" w:rsidRDefault="001538EF" w:rsidP="005B57E0">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Када је у питању дисперзија </w:t>
      </w:r>
      <w:r w:rsidR="00836834">
        <w:rPr>
          <w:rFonts w:asciiTheme="minorHAnsi" w:eastAsiaTheme="minorHAnsi" w:hAnsiTheme="minorHAnsi"/>
          <w:color w:val="auto"/>
          <w:sz w:val="20"/>
          <w:szCs w:val="20"/>
          <w:lang w:val="sr-Cyrl-BA" w:eastAsia="en-US"/>
        </w:rPr>
        <w:t xml:space="preserve">изданих </w:t>
      </w:r>
      <w:r w:rsidRPr="005767EF">
        <w:rPr>
          <w:rFonts w:asciiTheme="minorHAnsi" w:eastAsiaTheme="minorHAnsi" w:hAnsiTheme="minorHAnsi"/>
          <w:color w:val="auto"/>
          <w:sz w:val="20"/>
          <w:szCs w:val="20"/>
          <w:lang w:val="sr-Cyrl-BA" w:eastAsia="en-US"/>
        </w:rPr>
        <w:t>гаранција по градовима и општинама</w:t>
      </w:r>
      <w:r w:rsidR="0066469A">
        <w:rPr>
          <w:rFonts w:asciiTheme="minorHAnsi" w:eastAsiaTheme="minorHAnsi" w:hAnsiTheme="minorHAnsi"/>
          <w:color w:val="auto"/>
          <w:sz w:val="20"/>
          <w:szCs w:val="20"/>
          <w:lang w:val="sr-Cyrl-BA" w:eastAsia="en-US"/>
        </w:rPr>
        <w:t>,</w:t>
      </w:r>
      <w:r w:rsidRPr="005767EF">
        <w:rPr>
          <w:rFonts w:asciiTheme="minorHAnsi" w:eastAsiaTheme="minorHAnsi" w:hAnsiTheme="minorHAnsi"/>
          <w:color w:val="auto"/>
          <w:sz w:val="20"/>
          <w:szCs w:val="20"/>
          <w:lang w:val="sr-Cyrl-BA" w:eastAsia="en-US"/>
        </w:rPr>
        <w:t xml:space="preserve"> може се констатовати </w:t>
      </w:r>
      <w:r w:rsidR="0066469A">
        <w:rPr>
          <w:rFonts w:asciiTheme="minorHAnsi" w:eastAsiaTheme="minorHAnsi" w:hAnsiTheme="minorHAnsi"/>
          <w:color w:val="auto"/>
          <w:sz w:val="20"/>
          <w:szCs w:val="20"/>
          <w:lang w:val="sr-Cyrl-BA" w:eastAsia="en-US"/>
        </w:rPr>
        <w:t>да је највише гаранција из кред</w:t>
      </w:r>
      <w:r w:rsidRPr="005767EF">
        <w:rPr>
          <w:rFonts w:asciiTheme="minorHAnsi" w:eastAsiaTheme="minorHAnsi" w:hAnsiTheme="minorHAnsi"/>
          <w:color w:val="auto"/>
          <w:sz w:val="20"/>
          <w:szCs w:val="20"/>
          <w:lang w:val="sr-Cyrl-BA" w:eastAsia="en-US"/>
        </w:rPr>
        <w:t>итног портфеља</w:t>
      </w:r>
      <w:r w:rsidR="00403F89">
        <w:rPr>
          <w:rFonts w:asciiTheme="minorHAnsi" w:eastAsiaTheme="minorHAnsi" w:hAnsiTheme="minorHAnsi"/>
          <w:color w:val="auto"/>
          <w:sz w:val="20"/>
          <w:szCs w:val="20"/>
          <w:lang w:val="sr-Cyrl-BA" w:eastAsia="en-US"/>
        </w:rPr>
        <w:t xml:space="preserve"> током 2023. године</w:t>
      </w:r>
      <w:r w:rsidRPr="005767EF">
        <w:rPr>
          <w:rFonts w:asciiTheme="minorHAnsi" w:eastAsiaTheme="minorHAnsi" w:hAnsiTheme="minorHAnsi"/>
          <w:color w:val="auto"/>
          <w:sz w:val="20"/>
          <w:szCs w:val="20"/>
          <w:lang w:val="sr-Cyrl-BA" w:eastAsia="en-US"/>
        </w:rPr>
        <w:t xml:space="preserve"> </w:t>
      </w:r>
      <w:r w:rsidR="0066469A">
        <w:rPr>
          <w:rFonts w:asciiTheme="minorHAnsi" w:eastAsiaTheme="minorHAnsi" w:hAnsiTheme="minorHAnsi"/>
          <w:color w:val="auto"/>
          <w:sz w:val="20"/>
          <w:szCs w:val="20"/>
          <w:lang w:val="sr-Cyrl-BA" w:eastAsia="en-US"/>
        </w:rPr>
        <w:t>усмјерено према пословним субјектима</w:t>
      </w:r>
      <w:r w:rsidRPr="005767EF">
        <w:rPr>
          <w:rFonts w:asciiTheme="minorHAnsi" w:eastAsiaTheme="minorHAnsi" w:hAnsiTheme="minorHAnsi"/>
          <w:color w:val="auto"/>
          <w:sz w:val="20"/>
          <w:szCs w:val="20"/>
          <w:lang w:val="sr-Cyrl-BA" w:eastAsia="en-US"/>
        </w:rPr>
        <w:t xml:space="preserve"> са подручја Бања Луке, Бијељине и </w:t>
      </w:r>
      <w:r w:rsidR="0066469A">
        <w:rPr>
          <w:rFonts w:asciiTheme="minorHAnsi" w:eastAsiaTheme="minorHAnsi" w:hAnsiTheme="minorHAnsi"/>
          <w:color w:val="auto"/>
          <w:sz w:val="20"/>
          <w:szCs w:val="20"/>
          <w:lang w:val="sr-Cyrl-BA" w:eastAsia="en-US"/>
        </w:rPr>
        <w:t xml:space="preserve">Челинца. Гаранције издане ради обезбјеђења кредита привредника из два наведена града и једне општине имају учешће од </w:t>
      </w:r>
      <w:r w:rsidR="00403F89">
        <w:rPr>
          <w:rFonts w:asciiTheme="minorHAnsi" w:eastAsiaTheme="minorHAnsi" w:hAnsiTheme="minorHAnsi"/>
          <w:color w:val="auto"/>
          <w:sz w:val="20"/>
          <w:szCs w:val="20"/>
          <w:lang w:val="sr-Cyrl-BA" w:eastAsia="en-US"/>
        </w:rPr>
        <w:t>54,08% у укупно изданим гаранцијама у оквиру кредитног портфеља.</w:t>
      </w:r>
    </w:p>
    <w:p w14:paraId="32932C1F" w14:textId="77777777" w:rsidR="00C12ECB" w:rsidRDefault="00C12ECB" w:rsidP="005B57E0">
      <w:pPr>
        <w:autoSpaceDE w:val="0"/>
        <w:autoSpaceDN w:val="0"/>
        <w:adjustRightInd w:val="0"/>
        <w:rPr>
          <w:rFonts w:asciiTheme="minorHAnsi" w:eastAsiaTheme="minorHAnsi" w:hAnsiTheme="minorHAnsi"/>
          <w:color w:val="auto"/>
          <w:sz w:val="20"/>
          <w:szCs w:val="20"/>
          <w:lang w:val="sr-Cyrl-BA" w:eastAsia="en-US"/>
        </w:rPr>
      </w:pPr>
    </w:p>
    <w:p w14:paraId="531061B3"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3680F1F6"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0BCF2D5B"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260BBE5F"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2B9312D6"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44466ACB"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5C7BB96C"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11854F9C"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424BD250"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71D01B34"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57B0996B"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2CFA7DB5"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20B54872"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65A90006"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1F72D261" w14:textId="77777777" w:rsidR="004D360B" w:rsidRPr="005767EF" w:rsidRDefault="004D360B" w:rsidP="005B57E0">
      <w:pPr>
        <w:autoSpaceDE w:val="0"/>
        <w:autoSpaceDN w:val="0"/>
        <w:adjustRightInd w:val="0"/>
        <w:rPr>
          <w:rFonts w:asciiTheme="minorHAnsi" w:eastAsiaTheme="minorHAnsi" w:hAnsiTheme="minorHAnsi"/>
          <w:color w:val="auto"/>
          <w:sz w:val="20"/>
          <w:szCs w:val="20"/>
          <w:lang w:val="sr-Cyrl-BA" w:eastAsia="en-US"/>
        </w:rPr>
      </w:pPr>
    </w:p>
    <w:tbl>
      <w:tblPr>
        <w:tblW w:w="8647" w:type="dxa"/>
        <w:tblInd w:w="108" w:type="dxa"/>
        <w:tblLook w:val="04A0" w:firstRow="1" w:lastRow="0" w:firstColumn="1" w:lastColumn="0" w:noHBand="0" w:noVBand="1"/>
      </w:tblPr>
      <w:tblGrid>
        <w:gridCol w:w="8647"/>
      </w:tblGrid>
      <w:tr w:rsidR="001538EF" w:rsidRPr="005767EF" w14:paraId="24CF5904" w14:textId="77777777" w:rsidTr="002663DB">
        <w:trPr>
          <w:trHeight w:val="465"/>
        </w:trPr>
        <w:tc>
          <w:tcPr>
            <w:tcW w:w="8647" w:type="dxa"/>
            <w:tcBorders>
              <w:top w:val="nil"/>
              <w:left w:val="nil"/>
              <w:bottom w:val="nil"/>
              <w:right w:val="nil"/>
            </w:tcBorders>
            <w:shd w:val="clear" w:color="000000" w:fill="FFFFFF"/>
            <w:vAlign w:val="center"/>
            <w:hideMark/>
          </w:tcPr>
          <w:p w14:paraId="12FD91CE" w14:textId="77777777" w:rsidR="001538EF" w:rsidRPr="002663DB" w:rsidRDefault="001538EF" w:rsidP="00C12ECB">
            <w:pPr>
              <w:jc w:val="center"/>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Кумулативни преглед издан</w:t>
            </w:r>
            <w:r w:rsidRPr="005767EF">
              <w:rPr>
                <w:rFonts w:asciiTheme="minorHAnsi" w:hAnsiTheme="minorHAnsi"/>
                <w:b/>
                <w:bCs/>
                <w:sz w:val="20"/>
                <w:szCs w:val="20"/>
                <w:lang w:val="sr-Cyrl-BA" w:eastAsia="sr-Latn-RS"/>
              </w:rPr>
              <w:t>и</w:t>
            </w:r>
            <w:r w:rsidRPr="005767EF">
              <w:rPr>
                <w:rFonts w:asciiTheme="minorHAnsi" w:hAnsiTheme="minorHAnsi"/>
                <w:b/>
                <w:bCs/>
                <w:sz w:val="20"/>
                <w:szCs w:val="20"/>
                <w:lang w:val="sr-Latn-RS" w:eastAsia="sr-Latn-RS"/>
              </w:rPr>
              <w:t>х гаранција</w:t>
            </w:r>
            <w:r w:rsidR="002663DB">
              <w:rPr>
                <w:rFonts w:asciiTheme="minorHAnsi" w:hAnsiTheme="minorHAnsi"/>
                <w:b/>
                <w:bCs/>
                <w:sz w:val="20"/>
                <w:szCs w:val="20"/>
                <w:lang w:val="sr-Cyrl-RS" w:eastAsia="sr-Latn-RS"/>
              </w:rPr>
              <w:t xml:space="preserve"> у оквиру кредитног портфеља</w:t>
            </w:r>
            <w:r w:rsidR="002663DB">
              <w:rPr>
                <w:rFonts w:asciiTheme="minorHAnsi" w:hAnsiTheme="minorHAnsi"/>
                <w:b/>
                <w:bCs/>
                <w:sz w:val="20"/>
                <w:szCs w:val="20"/>
                <w:lang w:val="sr-Latn-RS" w:eastAsia="sr-Latn-RS"/>
              </w:rPr>
              <w:t xml:space="preserve"> </w:t>
            </w:r>
            <w:r w:rsidR="00C12ECB">
              <w:rPr>
                <w:rFonts w:asciiTheme="minorHAnsi" w:hAnsiTheme="minorHAnsi"/>
                <w:b/>
                <w:bCs/>
                <w:sz w:val="20"/>
                <w:szCs w:val="20"/>
                <w:lang w:val="sr-Cyrl-RS" w:eastAsia="sr-Latn-RS"/>
              </w:rPr>
              <w:t>по годинама</w:t>
            </w:r>
          </w:p>
        </w:tc>
      </w:tr>
    </w:tbl>
    <w:p w14:paraId="4196A560"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4B53332F" w14:textId="77777777" w:rsidR="001538EF" w:rsidRPr="00C12ECB"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00A944C8">
        <w:rPr>
          <w:rFonts w:asciiTheme="minorHAnsi" w:eastAsiaTheme="minorHAnsi" w:hAnsiTheme="minorHAnsi"/>
          <w:b/>
          <w:color w:val="auto"/>
          <w:sz w:val="20"/>
          <w:szCs w:val="20"/>
          <w:lang w:val="sr-Cyrl-BA" w:eastAsia="en-US"/>
        </w:rPr>
        <w:t>Табела 12</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2162"/>
        <w:gridCol w:w="1883"/>
        <w:gridCol w:w="1596"/>
        <w:gridCol w:w="1701"/>
      </w:tblGrid>
      <w:tr w:rsidR="00C12ECB" w:rsidRPr="005767EF" w14:paraId="44D6B5CE" w14:textId="77777777" w:rsidTr="00C12ECB">
        <w:trPr>
          <w:trHeight w:val="552"/>
        </w:trPr>
        <w:tc>
          <w:tcPr>
            <w:tcW w:w="1442" w:type="dxa"/>
            <w:shd w:val="clear" w:color="auto" w:fill="8DB3E2" w:themeFill="text2" w:themeFillTint="66"/>
            <w:vAlign w:val="center"/>
            <w:hideMark/>
          </w:tcPr>
          <w:p w14:paraId="51DF6DB6" w14:textId="77777777" w:rsidR="00C12ECB" w:rsidRPr="00C12ECB" w:rsidRDefault="00C12ECB" w:rsidP="009E4517">
            <w:pPr>
              <w:jc w:val="center"/>
              <w:rPr>
                <w:rFonts w:asciiTheme="minorHAnsi" w:hAnsiTheme="minorHAnsi"/>
                <w:b/>
                <w:sz w:val="18"/>
                <w:szCs w:val="18"/>
                <w:lang w:val="sr-Cyrl-BA" w:eastAsia="sr-Latn-RS"/>
              </w:rPr>
            </w:pPr>
            <w:r w:rsidRPr="00C12ECB">
              <w:rPr>
                <w:rFonts w:asciiTheme="minorHAnsi" w:hAnsiTheme="minorHAnsi"/>
                <w:b/>
                <w:sz w:val="18"/>
                <w:szCs w:val="18"/>
                <w:lang w:val="sr-Cyrl-BA" w:eastAsia="sr-Latn-RS"/>
              </w:rPr>
              <w:t>Година</w:t>
            </w:r>
          </w:p>
        </w:tc>
        <w:tc>
          <w:tcPr>
            <w:tcW w:w="2162" w:type="dxa"/>
            <w:shd w:val="clear" w:color="auto" w:fill="8DB3E2" w:themeFill="text2" w:themeFillTint="66"/>
            <w:vAlign w:val="center"/>
            <w:hideMark/>
          </w:tcPr>
          <w:p w14:paraId="0380BE94" w14:textId="77777777"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val="sr-Latn-RS" w:eastAsia="sr-Latn-RS"/>
              </w:rPr>
              <w:t>Број кредита</w:t>
            </w:r>
          </w:p>
        </w:tc>
        <w:tc>
          <w:tcPr>
            <w:tcW w:w="1883" w:type="dxa"/>
            <w:shd w:val="clear" w:color="auto" w:fill="8DB3E2" w:themeFill="text2" w:themeFillTint="66"/>
            <w:vAlign w:val="center"/>
            <w:hideMark/>
          </w:tcPr>
          <w:p w14:paraId="7D1BF6F9" w14:textId="77777777"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val="sr-Latn-RS" w:eastAsia="sr-Latn-RS"/>
              </w:rPr>
              <w:t>Износ кредита</w:t>
            </w:r>
          </w:p>
        </w:tc>
        <w:tc>
          <w:tcPr>
            <w:tcW w:w="1596" w:type="dxa"/>
            <w:shd w:val="clear" w:color="auto" w:fill="8DB3E2" w:themeFill="text2" w:themeFillTint="66"/>
            <w:vAlign w:val="center"/>
            <w:hideMark/>
          </w:tcPr>
          <w:p w14:paraId="34DEAC0A" w14:textId="77777777"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val="sr-Latn-RS" w:eastAsia="sr-Latn-RS"/>
              </w:rPr>
              <w:t>Износ гаранције</w:t>
            </w:r>
          </w:p>
        </w:tc>
        <w:tc>
          <w:tcPr>
            <w:tcW w:w="1701" w:type="dxa"/>
            <w:shd w:val="clear" w:color="auto" w:fill="8DB3E2" w:themeFill="text2" w:themeFillTint="66"/>
          </w:tcPr>
          <w:p w14:paraId="5D7ABF97" w14:textId="77777777" w:rsidR="00C12ECB" w:rsidRDefault="00C12ECB" w:rsidP="001538EF">
            <w:pPr>
              <w:jc w:val="center"/>
              <w:rPr>
                <w:rFonts w:asciiTheme="minorHAnsi" w:hAnsiTheme="minorHAnsi"/>
                <w:b/>
                <w:sz w:val="18"/>
                <w:szCs w:val="18"/>
                <w:lang w:val="sr-Cyrl-RS" w:eastAsia="sr-Latn-RS"/>
              </w:rPr>
            </w:pPr>
          </w:p>
          <w:p w14:paraId="4914FA64" w14:textId="77777777" w:rsidR="00C12ECB" w:rsidRPr="00C12ECB" w:rsidRDefault="00C12ECB" w:rsidP="001538EF">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Учешће</w:t>
            </w:r>
          </w:p>
        </w:tc>
      </w:tr>
      <w:tr w:rsidR="00C12ECB" w:rsidRPr="005767EF" w14:paraId="73D050C2" w14:textId="77777777" w:rsidTr="00C12ECB">
        <w:trPr>
          <w:trHeight w:val="219"/>
        </w:trPr>
        <w:tc>
          <w:tcPr>
            <w:tcW w:w="1442" w:type="dxa"/>
            <w:shd w:val="clear" w:color="auto" w:fill="auto"/>
            <w:vAlign w:val="center"/>
            <w:hideMark/>
          </w:tcPr>
          <w:p w14:paraId="7C0973C1" w14:textId="77777777" w:rsidR="00C12ECB" w:rsidRPr="00C12ECB" w:rsidRDefault="00836834" w:rsidP="00C12ECB">
            <w:pPr>
              <w:jc w:val="center"/>
              <w:rPr>
                <w:rFonts w:asciiTheme="minorHAnsi" w:hAnsiTheme="minorHAnsi"/>
                <w:caps/>
                <w:sz w:val="18"/>
                <w:szCs w:val="18"/>
                <w:lang w:val="sr-Cyrl-RS" w:eastAsia="sr-Latn-RS"/>
              </w:rPr>
            </w:pPr>
            <w:r>
              <w:rPr>
                <w:rFonts w:asciiTheme="minorHAnsi" w:hAnsiTheme="minorHAnsi"/>
                <w:caps/>
                <w:sz w:val="18"/>
                <w:szCs w:val="18"/>
                <w:lang w:val="sr-Cyrl-RS" w:eastAsia="sr-Latn-RS"/>
              </w:rPr>
              <w:t>2021.</w:t>
            </w:r>
          </w:p>
        </w:tc>
        <w:tc>
          <w:tcPr>
            <w:tcW w:w="2162" w:type="dxa"/>
            <w:shd w:val="clear" w:color="auto" w:fill="auto"/>
            <w:vAlign w:val="center"/>
            <w:hideMark/>
          </w:tcPr>
          <w:p w14:paraId="11AA9DBD"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val="sr-Cyrl-RS" w:eastAsia="sr-Latn-RS"/>
              </w:rPr>
              <w:t>42</w:t>
            </w:r>
          </w:p>
        </w:tc>
        <w:tc>
          <w:tcPr>
            <w:tcW w:w="1883" w:type="dxa"/>
            <w:shd w:val="clear" w:color="auto" w:fill="auto"/>
            <w:vAlign w:val="center"/>
            <w:hideMark/>
          </w:tcPr>
          <w:p w14:paraId="5972216B"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14.283.166,88</w:t>
            </w:r>
          </w:p>
        </w:tc>
        <w:tc>
          <w:tcPr>
            <w:tcW w:w="1596" w:type="dxa"/>
            <w:shd w:val="clear" w:color="auto" w:fill="auto"/>
            <w:vAlign w:val="center"/>
            <w:hideMark/>
          </w:tcPr>
          <w:p w14:paraId="0A78E3D6"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7.141.583,44</w:t>
            </w:r>
          </w:p>
        </w:tc>
        <w:tc>
          <w:tcPr>
            <w:tcW w:w="1701" w:type="dxa"/>
          </w:tcPr>
          <w:p w14:paraId="5AC933AD"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25,32%</w:t>
            </w:r>
          </w:p>
        </w:tc>
      </w:tr>
      <w:tr w:rsidR="00C12ECB" w:rsidRPr="005767EF" w14:paraId="13AD3C23" w14:textId="77777777" w:rsidTr="00C12ECB">
        <w:trPr>
          <w:trHeight w:val="219"/>
        </w:trPr>
        <w:tc>
          <w:tcPr>
            <w:tcW w:w="1442" w:type="dxa"/>
            <w:shd w:val="clear" w:color="auto" w:fill="auto"/>
            <w:vAlign w:val="center"/>
            <w:hideMark/>
          </w:tcPr>
          <w:p w14:paraId="19B7054F" w14:textId="77777777" w:rsidR="00C12ECB" w:rsidRPr="00C12ECB" w:rsidRDefault="00C12ECB" w:rsidP="00C12ECB">
            <w:pPr>
              <w:jc w:val="center"/>
              <w:rPr>
                <w:rFonts w:asciiTheme="minorHAnsi" w:hAnsiTheme="minorHAnsi"/>
                <w:caps/>
                <w:sz w:val="18"/>
                <w:szCs w:val="18"/>
                <w:lang w:val="sr-Cyrl-RS" w:eastAsia="sr-Latn-RS"/>
              </w:rPr>
            </w:pPr>
            <w:r w:rsidRPr="00C12ECB">
              <w:rPr>
                <w:rFonts w:asciiTheme="minorHAnsi" w:hAnsiTheme="minorHAnsi"/>
                <w:caps/>
                <w:sz w:val="18"/>
                <w:szCs w:val="18"/>
                <w:lang w:val="sr-Cyrl-RS" w:eastAsia="sr-Latn-RS"/>
              </w:rPr>
              <w:t>2022.</w:t>
            </w:r>
          </w:p>
        </w:tc>
        <w:tc>
          <w:tcPr>
            <w:tcW w:w="2162" w:type="dxa"/>
            <w:shd w:val="clear" w:color="auto" w:fill="auto"/>
            <w:vAlign w:val="center"/>
            <w:hideMark/>
          </w:tcPr>
          <w:p w14:paraId="1D5371A8"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val="sr-Cyrl-RS" w:eastAsia="sr-Latn-RS"/>
              </w:rPr>
              <w:t>73</w:t>
            </w:r>
          </w:p>
        </w:tc>
        <w:tc>
          <w:tcPr>
            <w:tcW w:w="1883" w:type="dxa"/>
            <w:shd w:val="clear" w:color="auto" w:fill="auto"/>
            <w:vAlign w:val="center"/>
            <w:hideMark/>
          </w:tcPr>
          <w:p w14:paraId="253BF839"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12.365.400,00</w:t>
            </w:r>
          </w:p>
        </w:tc>
        <w:tc>
          <w:tcPr>
            <w:tcW w:w="1596" w:type="dxa"/>
            <w:shd w:val="clear" w:color="auto" w:fill="auto"/>
            <w:vAlign w:val="center"/>
            <w:hideMark/>
          </w:tcPr>
          <w:p w14:paraId="08AE7369"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6.182.685,00</w:t>
            </w:r>
          </w:p>
        </w:tc>
        <w:tc>
          <w:tcPr>
            <w:tcW w:w="1701" w:type="dxa"/>
          </w:tcPr>
          <w:p w14:paraId="278E2850"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21,92%</w:t>
            </w:r>
          </w:p>
        </w:tc>
      </w:tr>
      <w:tr w:rsidR="00C12ECB" w:rsidRPr="005767EF" w14:paraId="44900557" w14:textId="77777777" w:rsidTr="00C12ECB">
        <w:trPr>
          <w:trHeight w:val="219"/>
        </w:trPr>
        <w:tc>
          <w:tcPr>
            <w:tcW w:w="1442" w:type="dxa"/>
            <w:tcBorders>
              <w:bottom w:val="single" w:sz="4" w:space="0" w:color="auto"/>
            </w:tcBorders>
            <w:shd w:val="clear" w:color="auto" w:fill="auto"/>
            <w:vAlign w:val="center"/>
            <w:hideMark/>
          </w:tcPr>
          <w:p w14:paraId="77E8D198" w14:textId="77777777" w:rsidR="00C12ECB" w:rsidRPr="00C12ECB" w:rsidRDefault="00C12ECB" w:rsidP="00C12ECB">
            <w:pPr>
              <w:jc w:val="center"/>
              <w:rPr>
                <w:rFonts w:asciiTheme="minorHAnsi" w:hAnsiTheme="minorHAnsi"/>
                <w:caps/>
                <w:sz w:val="18"/>
                <w:szCs w:val="18"/>
                <w:lang w:val="sr-Cyrl-RS" w:eastAsia="sr-Latn-RS"/>
              </w:rPr>
            </w:pPr>
            <w:r w:rsidRPr="00C12ECB">
              <w:rPr>
                <w:rFonts w:asciiTheme="minorHAnsi" w:hAnsiTheme="minorHAnsi"/>
                <w:caps/>
                <w:sz w:val="18"/>
                <w:szCs w:val="18"/>
                <w:lang w:val="sr-Cyrl-RS" w:eastAsia="sr-Latn-RS"/>
              </w:rPr>
              <w:t>2023.</w:t>
            </w:r>
          </w:p>
        </w:tc>
        <w:tc>
          <w:tcPr>
            <w:tcW w:w="2162" w:type="dxa"/>
            <w:tcBorders>
              <w:bottom w:val="single" w:sz="4" w:space="0" w:color="auto"/>
            </w:tcBorders>
            <w:shd w:val="clear" w:color="auto" w:fill="auto"/>
            <w:vAlign w:val="center"/>
            <w:hideMark/>
          </w:tcPr>
          <w:p w14:paraId="39BDADFA"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val="sr-Cyrl-RS" w:eastAsia="sr-Latn-RS"/>
              </w:rPr>
              <w:t>122</w:t>
            </w:r>
          </w:p>
        </w:tc>
        <w:tc>
          <w:tcPr>
            <w:tcW w:w="1883" w:type="dxa"/>
            <w:tcBorders>
              <w:bottom w:val="single" w:sz="4" w:space="0" w:color="auto"/>
            </w:tcBorders>
            <w:shd w:val="clear" w:color="auto" w:fill="auto"/>
            <w:vAlign w:val="center"/>
            <w:hideMark/>
          </w:tcPr>
          <w:p w14:paraId="3CC8301B"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29.762.000,03</w:t>
            </w:r>
          </w:p>
        </w:tc>
        <w:tc>
          <w:tcPr>
            <w:tcW w:w="1596" w:type="dxa"/>
            <w:tcBorders>
              <w:bottom w:val="single" w:sz="4" w:space="0" w:color="auto"/>
            </w:tcBorders>
            <w:shd w:val="clear" w:color="auto" w:fill="auto"/>
            <w:vAlign w:val="center"/>
            <w:hideMark/>
          </w:tcPr>
          <w:p w14:paraId="66EA3EF1"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val="sr-Cyrl-RS" w:eastAsia="sr-Latn-RS"/>
              </w:rPr>
              <w:t>14.881.000,03</w:t>
            </w:r>
          </w:p>
        </w:tc>
        <w:tc>
          <w:tcPr>
            <w:tcW w:w="1701" w:type="dxa"/>
            <w:tcBorders>
              <w:bottom w:val="single" w:sz="4" w:space="0" w:color="auto"/>
            </w:tcBorders>
          </w:tcPr>
          <w:p w14:paraId="437D9A2A"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52,76%</w:t>
            </w:r>
          </w:p>
        </w:tc>
      </w:tr>
      <w:tr w:rsidR="00C12ECB" w:rsidRPr="005767EF" w14:paraId="6A70B514" w14:textId="77777777" w:rsidTr="00C12ECB">
        <w:trPr>
          <w:trHeight w:val="219"/>
        </w:trPr>
        <w:tc>
          <w:tcPr>
            <w:tcW w:w="1442" w:type="dxa"/>
            <w:tcBorders>
              <w:bottom w:val="single" w:sz="4" w:space="0" w:color="auto"/>
            </w:tcBorders>
            <w:shd w:val="clear" w:color="auto" w:fill="8DB3E2" w:themeFill="text2" w:themeFillTint="66"/>
            <w:vAlign w:val="center"/>
          </w:tcPr>
          <w:p w14:paraId="6429AA67" w14:textId="77777777" w:rsidR="00C12ECB" w:rsidRPr="00C12ECB" w:rsidRDefault="00C12ECB" w:rsidP="00C12ECB">
            <w:pPr>
              <w:jc w:val="center"/>
              <w:rPr>
                <w:rFonts w:asciiTheme="minorHAnsi" w:hAnsiTheme="minorHAnsi"/>
                <w:b/>
                <w:caps/>
                <w:sz w:val="18"/>
                <w:szCs w:val="18"/>
                <w:lang w:val="sr-Cyrl-RS" w:eastAsia="sr-Latn-RS"/>
              </w:rPr>
            </w:pPr>
            <w:r w:rsidRPr="00C12ECB">
              <w:rPr>
                <w:rFonts w:asciiTheme="minorHAnsi" w:hAnsiTheme="minorHAnsi"/>
                <w:b/>
                <w:caps/>
                <w:sz w:val="18"/>
                <w:szCs w:val="18"/>
                <w:lang w:val="sr-Cyrl-RS" w:eastAsia="sr-Latn-RS"/>
              </w:rPr>
              <w:t>Укупно</w:t>
            </w:r>
          </w:p>
        </w:tc>
        <w:tc>
          <w:tcPr>
            <w:tcW w:w="2162" w:type="dxa"/>
            <w:tcBorders>
              <w:bottom w:val="single" w:sz="4" w:space="0" w:color="auto"/>
            </w:tcBorders>
            <w:shd w:val="clear" w:color="auto" w:fill="8DB3E2" w:themeFill="text2" w:themeFillTint="66"/>
            <w:vAlign w:val="center"/>
          </w:tcPr>
          <w:p w14:paraId="2D7B1C6B" w14:textId="77777777" w:rsidR="00C12ECB" w:rsidRPr="00C12ECB" w:rsidRDefault="00C12ECB" w:rsidP="001538EF">
            <w:pPr>
              <w:jc w:val="center"/>
              <w:rPr>
                <w:rFonts w:asciiTheme="minorHAnsi" w:hAnsiTheme="minorHAnsi"/>
                <w:b/>
                <w:sz w:val="18"/>
                <w:szCs w:val="18"/>
                <w:lang w:val="sr-Cyrl-RS" w:eastAsia="sr-Latn-RS"/>
              </w:rPr>
            </w:pPr>
            <w:r w:rsidRPr="00C12ECB">
              <w:rPr>
                <w:rFonts w:asciiTheme="minorHAnsi" w:hAnsiTheme="minorHAnsi"/>
                <w:b/>
                <w:sz w:val="18"/>
                <w:szCs w:val="18"/>
                <w:lang w:val="sr-Cyrl-RS" w:eastAsia="sr-Latn-RS"/>
              </w:rPr>
              <w:t>237</w:t>
            </w:r>
          </w:p>
        </w:tc>
        <w:tc>
          <w:tcPr>
            <w:tcW w:w="1883" w:type="dxa"/>
            <w:tcBorders>
              <w:bottom w:val="single" w:sz="4" w:space="0" w:color="auto"/>
            </w:tcBorders>
            <w:shd w:val="clear" w:color="auto" w:fill="8DB3E2" w:themeFill="text2" w:themeFillTint="66"/>
            <w:vAlign w:val="center"/>
          </w:tcPr>
          <w:p w14:paraId="66FDF708"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val="sr-Cyrl-RS" w:eastAsia="sr-Latn-RS"/>
              </w:rPr>
              <w:t>56.410.566,91</w:t>
            </w:r>
          </w:p>
        </w:tc>
        <w:tc>
          <w:tcPr>
            <w:tcW w:w="1596" w:type="dxa"/>
            <w:tcBorders>
              <w:bottom w:val="single" w:sz="4" w:space="0" w:color="auto"/>
            </w:tcBorders>
            <w:shd w:val="clear" w:color="auto" w:fill="8DB3E2" w:themeFill="text2" w:themeFillTint="66"/>
            <w:vAlign w:val="center"/>
          </w:tcPr>
          <w:p w14:paraId="37FAD6A8"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val="sr-Cyrl-RS" w:eastAsia="sr-Latn-RS"/>
              </w:rPr>
              <w:t>28.205.268,47</w:t>
            </w:r>
          </w:p>
        </w:tc>
        <w:tc>
          <w:tcPr>
            <w:tcW w:w="1701" w:type="dxa"/>
            <w:tcBorders>
              <w:bottom w:val="single" w:sz="4" w:space="0" w:color="auto"/>
            </w:tcBorders>
            <w:shd w:val="clear" w:color="auto" w:fill="8DB3E2" w:themeFill="text2" w:themeFillTint="66"/>
          </w:tcPr>
          <w:p w14:paraId="2D09C253"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val="sr-Cyrl-RS" w:eastAsia="sr-Latn-RS"/>
              </w:rPr>
              <w:t>100,00%</w:t>
            </w:r>
          </w:p>
        </w:tc>
      </w:tr>
    </w:tbl>
    <w:p w14:paraId="00DFB2AF" w14:textId="77777777" w:rsidR="001538EF" w:rsidRPr="005767EF" w:rsidRDefault="001538EF" w:rsidP="00C12ECB">
      <w:pPr>
        <w:autoSpaceDE w:val="0"/>
        <w:autoSpaceDN w:val="0"/>
        <w:adjustRightInd w:val="0"/>
        <w:rPr>
          <w:rFonts w:asciiTheme="minorHAnsi" w:eastAsiaTheme="minorHAnsi" w:hAnsiTheme="minorHAnsi"/>
          <w:color w:val="FF0000"/>
          <w:sz w:val="20"/>
          <w:szCs w:val="20"/>
          <w:lang w:val="sr-Cyrl-BA" w:eastAsia="en-US"/>
        </w:rPr>
      </w:pPr>
    </w:p>
    <w:p w14:paraId="20D6A510" w14:textId="77777777" w:rsidR="001538EF" w:rsidRPr="005767EF" w:rsidRDefault="00836834" w:rsidP="001538EF">
      <w:pPr>
        <w:autoSpaceDE w:val="0"/>
        <w:autoSpaceDN w:val="0"/>
        <w:adjustRightInd w:val="0"/>
        <w:rPr>
          <w:rFonts w:asciiTheme="minorHAnsi" w:hAnsiTheme="minorHAnsi"/>
          <w:sz w:val="20"/>
          <w:szCs w:val="20"/>
          <w:lang w:val="sr-Cyrl-BA" w:eastAsia="sr-Latn-RS"/>
        </w:rPr>
      </w:pPr>
      <w:r>
        <w:rPr>
          <w:rFonts w:asciiTheme="minorHAnsi" w:eastAsiaTheme="minorHAnsi" w:hAnsiTheme="minorHAnsi"/>
          <w:color w:val="auto"/>
          <w:sz w:val="20"/>
          <w:szCs w:val="20"/>
          <w:lang w:val="sr-Cyrl-BA" w:eastAsia="en-US"/>
        </w:rPr>
        <w:t>На</w:t>
      </w:r>
      <w:r w:rsidR="00C12ECB">
        <w:rPr>
          <w:rFonts w:asciiTheme="minorHAnsi" w:eastAsiaTheme="minorHAnsi" w:hAnsiTheme="minorHAnsi"/>
          <w:color w:val="auto"/>
          <w:sz w:val="20"/>
          <w:szCs w:val="20"/>
          <w:lang w:val="sr-Cyrl-BA" w:eastAsia="en-US"/>
        </w:rPr>
        <w:t xml:space="preserve"> </w:t>
      </w:r>
      <w:r w:rsidR="001538EF" w:rsidRPr="005767EF">
        <w:rPr>
          <w:rFonts w:asciiTheme="minorHAnsi" w:eastAsiaTheme="minorHAnsi" w:hAnsiTheme="minorHAnsi"/>
          <w:color w:val="auto"/>
          <w:sz w:val="20"/>
          <w:szCs w:val="20"/>
          <w:lang w:val="sr-Cyrl-BA" w:eastAsia="en-US"/>
        </w:rPr>
        <w:t>основу потписаних уговора о гарантовању кредитног п</w:t>
      </w:r>
      <w:r>
        <w:rPr>
          <w:rFonts w:asciiTheme="minorHAnsi" w:eastAsiaTheme="minorHAnsi" w:hAnsiTheme="minorHAnsi"/>
          <w:color w:val="auto"/>
          <w:sz w:val="20"/>
          <w:szCs w:val="20"/>
          <w:lang w:val="sr-Cyrl-BA" w:eastAsia="en-US"/>
        </w:rPr>
        <w:t>ортфеља финансијских посредника,</w:t>
      </w:r>
      <w:r w:rsidR="00C12ECB">
        <w:rPr>
          <w:rFonts w:asciiTheme="minorHAnsi" w:eastAsiaTheme="minorHAnsi" w:hAnsiTheme="minorHAnsi"/>
          <w:color w:val="auto"/>
          <w:sz w:val="20"/>
          <w:szCs w:val="20"/>
          <w:lang w:val="sr-Cyrl-BA" w:eastAsia="en-US"/>
        </w:rPr>
        <w:t xml:space="preserve"> </w:t>
      </w:r>
      <w:r w:rsidR="00BC6981">
        <w:rPr>
          <w:rFonts w:asciiTheme="minorHAnsi" w:eastAsiaTheme="minorHAnsi" w:hAnsiTheme="minorHAnsi"/>
          <w:color w:val="auto"/>
          <w:sz w:val="20"/>
          <w:szCs w:val="20"/>
          <w:lang w:val="sr-Cyrl-BA" w:eastAsia="en-US"/>
        </w:rPr>
        <w:t>за три године</w:t>
      </w:r>
      <w:r>
        <w:rPr>
          <w:rFonts w:asciiTheme="minorHAnsi" w:eastAsiaTheme="minorHAnsi" w:hAnsiTheme="minorHAnsi"/>
          <w:color w:val="auto"/>
          <w:sz w:val="20"/>
          <w:szCs w:val="20"/>
          <w:lang w:val="sr-Cyrl-BA" w:eastAsia="en-US"/>
        </w:rPr>
        <w:t xml:space="preserve"> је </w:t>
      </w:r>
      <w:r w:rsidR="001538EF" w:rsidRPr="005767EF">
        <w:rPr>
          <w:rFonts w:asciiTheme="minorHAnsi" w:eastAsiaTheme="minorHAnsi" w:hAnsiTheme="minorHAnsi"/>
          <w:color w:val="auto"/>
          <w:sz w:val="20"/>
          <w:szCs w:val="20"/>
          <w:lang w:val="sr-Cyrl-BA" w:eastAsia="en-US"/>
        </w:rPr>
        <w:t xml:space="preserve">издано </w:t>
      </w:r>
      <w:r w:rsidR="00C12ECB">
        <w:rPr>
          <w:rFonts w:asciiTheme="minorHAnsi" w:eastAsiaTheme="minorHAnsi" w:hAnsiTheme="minorHAnsi"/>
          <w:color w:val="auto"/>
          <w:sz w:val="20"/>
          <w:szCs w:val="20"/>
          <w:lang w:val="sr-Cyrl-BA" w:eastAsia="en-US"/>
        </w:rPr>
        <w:t xml:space="preserve">237 гаранција у износу од 28.205.268,47 </w:t>
      </w:r>
      <w:r w:rsidR="001538EF" w:rsidRPr="005767EF">
        <w:rPr>
          <w:rFonts w:asciiTheme="minorHAnsi" w:eastAsiaTheme="minorHAnsi" w:hAnsiTheme="minorHAnsi"/>
          <w:color w:val="auto"/>
          <w:sz w:val="20"/>
          <w:szCs w:val="20"/>
          <w:lang w:val="sr-Cyrl-BA" w:eastAsia="en-US"/>
        </w:rPr>
        <w:t>КМ</w:t>
      </w:r>
      <w:r w:rsidR="00C12ECB">
        <w:rPr>
          <w:rFonts w:asciiTheme="minorHAnsi" w:eastAsiaTheme="minorHAnsi" w:hAnsiTheme="minorHAnsi"/>
          <w:color w:val="auto"/>
          <w:sz w:val="20"/>
          <w:szCs w:val="20"/>
          <w:lang w:val="sr-Cyrl-BA" w:eastAsia="en-US"/>
        </w:rPr>
        <w:t>,</w:t>
      </w:r>
      <w:r w:rsidR="001538EF" w:rsidRPr="005767EF">
        <w:rPr>
          <w:rFonts w:asciiTheme="minorHAnsi" w:eastAsiaTheme="minorHAnsi" w:hAnsiTheme="minorHAnsi"/>
          <w:color w:val="auto"/>
          <w:sz w:val="20"/>
          <w:szCs w:val="20"/>
          <w:lang w:val="sr-Cyrl-BA" w:eastAsia="en-US"/>
        </w:rPr>
        <w:t xml:space="preserve"> чиме је подржано </w:t>
      </w:r>
      <w:r w:rsidR="00C12ECB">
        <w:rPr>
          <w:rFonts w:asciiTheme="minorHAnsi" w:eastAsiaTheme="minorHAnsi" w:hAnsiTheme="minorHAnsi"/>
          <w:color w:val="auto"/>
          <w:sz w:val="20"/>
          <w:szCs w:val="20"/>
          <w:lang w:val="sr-Cyrl-BA" w:eastAsia="en-US"/>
        </w:rPr>
        <w:t xml:space="preserve">56.410.566,91 </w:t>
      </w:r>
      <w:r w:rsidR="001538EF" w:rsidRPr="005767EF">
        <w:rPr>
          <w:rFonts w:asciiTheme="minorHAnsi" w:eastAsiaTheme="minorHAnsi" w:hAnsiTheme="minorHAnsi"/>
          <w:color w:val="auto"/>
          <w:sz w:val="20"/>
          <w:szCs w:val="20"/>
          <w:lang w:val="sr-Cyrl-BA" w:eastAsia="en-US"/>
        </w:rPr>
        <w:t>КМ кредитних пласмана финансијских посредника.</w:t>
      </w:r>
      <w:r w:rsidR="00C12ECB">
        <w:rPr>
          <w:rFonts w:asciiTheme="minorHAnsi" w:eastAsiaTheme="minorHAnsi" w:hAnsiTheme="minorHAnsi"/>
          <w:color w:val="auto"/>
          <w:sz w:val="20"/>
          <w:szCs w:val="20"/>
          <w:lang w:val="sr-Cyrl-BA" w:eastAsia="en-US"/>
        </w:rPr>
        <w:t xml:space="preserve"> Табела показује значајан раст пласираних средстава током 2023. године, што говори о томе да се финансијски посредници све више окрећу овом начину одобравања кредита, с обзиром на бројне предности у виду скраћења поступка одобравања и задржавања </w:t>
      </w:r>
      <w:r w:rsidR="00BC6981">
        <w:rPr>
          <w:rFonts w:asciiTheme="minorHAnsi" w:eastAsiaTheme="minorHAnsi" w:hAnsiTheme="minorHAnsi"/>
          <w:color w:val="auto"/>
          <w:sz w:val="20"/>
          <w:szCs w:val="20"/>
          <w:lang w:val="sr-Cyrl-BA" w:eastAsia="en-US"/>
        </w:rPr>
        <w:t xml:space="preserve">контроле у погледу кредитне анализе клијента. Током 2023. године је пласирано нешто више од половине укупно пласираних средстава из портфеља (52,76%), док је учешће током претходних година знатно мање (21,92% у 2022. години и 25,32% у 2021. години). </w:t>
      </w:r>
      <w:r w:rsidR="001538EF" w:rsidRPr="005767EF">
        <w:rPr>
          <w:rFonts w:asciiTheme="minorHAnsi" w:eastAsiaTheme="minorHAnsi" w:hAnsiTheme="minorHAnsi"/>
          <w:color w:val="auto"/>
          <w:sz w:val="20"/>
          <w:szCs w:val="20"/>
          <w:lang w:val="sr-Cyrl-BA" w:eastAsia="en-US"/>
        </w:rPr>
        <w:t xml:space="preserve"> </w:t>
      </w:r>
    </w:p>
    <w:p w14:paraId="65872736" w14:textId="77777777" w:rsidR="001538EF" w:rsidRPr="005767EF" w:rsidRDefault="001538EF" w:rsidP="00BC6981">
      <w:pPr>
        <w:autoSpaceDE w:val="0"/>
        <w:autoSpaceDN w:val="0"/>
        <w:adjustRightInd w:val="0"/>
        <w:rPr>
          <w:rFonts w:asciiTheme="minorHAnsi" w:eastAsiaTheme="minorHAnsi" w:hAnsiTheme="minorHAnsi"/>
          <w:color w:val="FF0000"/>
          <w:sz w:val="20"/>
          <w:szCs w:val="20"/>
          <w:lang w:val="sr-Cyrl-BA" w:eastAsia="en-US"/>
        </w:rPr>
      </w:pPr>
    </w:p>
    <w:p w14:paraId="0CF82424" w14:textId="77777777" w:rsidR="001538EF" w:rsidRPr="005767EF" w:rsidRDefault="001538EF" w:rsidP="001538EF">
      <w:pPr>
        <w:autoSpaceDE w:val="0"/>
        <w:autoSpaceDN w:val="0"/>
        <w:adjustRightInd w:val="0"/>
        <w:jc w:val="center"/>
        <w:rPr>
          <w:rFonts w:asciiTheme="minorHAnsi" w:eastAsiaTheme="minorHAnsi" w:hAnsiTheme="minorHAnsi"/>
          <w:b/>
          <w:color w:val="auto"/>
          <w:sz w:val="20"/>
          <w:szCs w:val="20"/>
          <w:lang w:val="sr-Cyrl-BA" w:eastAsia="en-US"/>
        </w:rPr>
      </w:pPr>
      <w:r w:rsidRPr="005767EF">
        <w:rPr>
          <w:rFonts w:asciiTheme="minorHAnsi" w:eastAsiaTheme="minorHAnsi" w:hAnsiTheme="minorHAnsi"/>
          <w:b/>
          <w:color w:val="auto"/>
          <w:sz w:val="20"/>
          <w:szCs w:val="20"/>
          <w:lang w:val="sr-Cyrl-BA" w:eastAsia="en-US"/>
        </w:rPr>
        <w:t>Преглед реализације уговореног кредитног портфолија на дан 31.12.202</w:t>
      </w:r>
      <w:r w:rsidR="00BC6981">
        <w:rPr>
          <w:rFonts w:asciiTheme="minorHAnsi" w:eastAsiaTheme="minorHAnsi" w:hAnsiTheme="minorHAnsi"/>
          <w:b/>
          <w:color w:val="auto"/>
          <w:sz w:val="20"/>
          <w:szCs w:val="20"/>
          <w:lang w:val="sr-Cyrl-BA" w:eastAsia="en-US"/>
        </w:rPr>
        <w:t>3</w:t>
      </w:r>
      <w:r w:rsidRPr="005767EF">
        <w:rPr>
          <w:rFonts w:asciiTheme="minorHAnsi" w:eastAsiaTheme="minorHAnsi" w:hAnsiTheme="minorHAnsi"/>
          <w:b/>
          <w:color w:val="auto"/>
          <w:sz w:val="20"/>
          <w:szCs w:val="20"/>
          <w:lang w:val="sr-Cyrl-BA" w:eastAsia="en-US"/>
        </w:rPr>
        <w:t>. године</w:t>
      </w:r>
    </w:p>
    <w:p w14:paraId="268F28E2" w14:textId="77777777" w:rsidR="001538EF" w:rsidRPr="005767EF" w:rsidRDefault="001538EF" w:rsidP="001538EF">
      <w:pPr>
        <w:autoSpaceDE w:val="0"/>
        <w:autoSpaceDN w:val="0"/>
        <w:adjustRightInd w:val="0"/>
        <w:jc w:val="center"/>
        <w:rPr>
          <w:rFonts w:asciiTheme="minorHAnsi" w:eastAsiaTheme="minorHAnsi" w:hAnsiTheme="minorHAnsi"/>
          <w:b/>
          <w:color w:val="auto"/>
          <w:sz w:val="20"/>
          <w:szCs w:val="20"/>
          <w:lang w:val="sr-Cyrl-BA" w:eastAsia="en-US"/>
        </w:rPr>
      </w:pPr>
    </w:p>
    <w:p w14:paraId="5D203B98" w14:textId="77777777" w:rsidR="001538EF" w:rsidRPr="005767EF" w:rsidRDefault="00BC6981" w:rsidP="00BC6981">
      <w:pPr>
        <w:autoSpaceDE w:val="0"/>
        <w:autoSpaceDN w:val="0"/>
        <w:adjustRightInd w:val="0"/>
        <w:rPr>
          <w:rFonts w:asciiTheme="minorHAnsi" w:eastAsiaTheme="minorHAnsi" w:hAnsiTheme="minorHAnsi"/>
          <w:b/>
          <w:color w:val="auto"/>
          <w:sz w:val="20"/>
          <w:szCs w:val="20"/>
          <w:lang w:val="sr-Cyrl-BA" w:eastAsia="en-US"/>
        </w:rPr>
      </w:pP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sidR="00A944C8">
        <w:rPr>
          <w:rFonts w:asciiTheme="minorHAnsi" w:eastAsiaTheme="minorHAnsi" w:hAnsiTheme="minorHAnsi"/>
          <w:b/>
          <w:color w:val="auto"/>
          <w:sz w:val="20"/>
          <w:szCs w:val="20"/>
          <w:lang w:val="sr-Cyrl-BA" w:eastAsia="en-US"/>
        </w:rPr>
        <w:t>Табела 13</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1101"/>
        <w:gridCol w:w="1490"/>
        <w:gridCol w:w="1505"/>
        <w:gridCol w:w="1337"/>
      </w:tblGrid>
      <w:tr w:rsidR="00295AE9" w:rsidRPr="005767EF" w14:paraId="1A0359B9" w14:textId="77777777" w:rsidTr="008A3C49">
        <w:trPr>
          <w:trHeight w:val="987"/>
        </w:trPr>
        <w:tc>
          <w:tcPr>
            <w:tcW w:w="3351" w:type="dxa"/>
            <w:shd w:val="clear" w:color="auto" w:fill="8DB3E2" w:themeFill="text2" w:themeFillTint="66"/>
            <w:vAlign w:val="center"/>
            <w:hideMark/>
          </w:tcPr>
          <w:p w14:paraId="389B19B9" w14:textId="77777777" w:rsidR="00295AE9" w:rsidRPr="00BC6981" w:rsidRDefault="00295AE9" w:rsidP="001538EF">
            <w:pPr>
              <w:jc w:val="center"/>
              <w:rPr>
                <w:rFonts w:asciiTheme="minorHAnsi" w:hAnsiTheme="minorHAnsi"/>
                <w:b/>
                <w:sz w:val="18"/>
                <w:szCs w:val="18"/>
                <w:lang w:val="sr-Latn-RS" w:eastAsia="sr-Latn-RS"/>
              </w:rPr>
            </w:pPr>
            <w:r w:rsidRPr="00BC6981">
              <w:rPr>
                <w:rFonts w:asciiTheme="minorHAnsi" w:hAnsiTheme="minorHAnsi"/>
                <w:b/>
                <w:sz w:val="18"/>
                <w:szCs w:val="18"/>
                <w:lang w:val="sr-Latn-RS" w:eastAsia="sr-Latn-RS"/>
              </w:rPr>
              <w:t>Финанси</w:t>
            </w:r>
            <w:r w:rsidRPr="00BC6981">
              <w:rPr>
                <w:rFonts w:asciiTheme="minorHAnsi" w:hAnsiTheme="minorHAnsi"/>
                <w:b/>
                <w:sz w:val="18"/>
                <w:szCs w:val="18"/>
                <w:lang w:val="sr-Cyrl-BA" w:eastAsia="sr-Latn-RS"/>
              </w:rPr>
              <w:t>ј</w:t>
            </w:r>
            <w:r w:rsidRPr="00BC6981">
              <w:rPr>
                <w:rFonts w:asciiTheme="minorHAnsi" w:hAnsiTheme="minorHAnsi"/>
                <w:b/>
                <w:sz w:val="18"/>
                <w:szCs w:val="18"/>
                <w:lang w:val="sr-Latn-RS" w:eastAsia="sr-Latn-RS"/>
              </w:rPr>
              <w:t>ски посредник</w:t>
            </w:r>
          </w:p>
        </w:tc>
        <w:tc>
          <w:tcPr>
            <w:tcW w:w="1101" w:type="dxa"/>
            <w:shd w:val="clear" w:color="auto" w:fill="8DB3E2" w:themeFill="text2" w:themeFillTint="66"/>
          </w:tcPr>
          <w:p w14:paraId="3136B070" w14:textId="77777777" w:rsidR="00295AE9" w:rsidRDefault="00295AE9" w:rsidP="001538EF">
            <w:pPr>
              <w:jc w:val="center"/>
              <w:rPr>
                <w:rFonts w:asciiTheme="minorHAnsi" w:hAnsiTheme="minorHAnsi"/>
                <w:b/>
                <w:sz w:val="18"/>
                <w:szCs w:val="18"/>
                <w:lang w:val="sr-Cyrl-RS" w:eastAsia="sr-Latn-RS"/>
              </w:rPr>
            </w:pPr>
          </w:p>
          <w:p w14:paraId="1A1B978D" w14:textId="77777777" w:rsidR="008A3C49" w:rsidRDefault="008A3C49" w:rsidP="001538EF">
            <w:pPr>
              <w:jc w:val="center"/>
              <w:rPr>
                <w:rFonts w:asciiTheme="minorHAnsi" w:hAnsiTheme="minorHAnsi"/>
                <w:b/>
                <w:sz w:val="18"/>
                <w:szCs w:val="18"/>
                <w:lang w:val="sr-Cyrl-RS" w:eastAsia="sr-Latn-RS"/>
              </w:rPr>
            </w:pPr>
          </w:p>
          <w:p w14:paraId="2F91AE0D" w14:textId="77777777" w:rsidR="00295AE9" w:rsidRPr="00295AE9" w:rsidRDefault="00295AE9" w:rsidP="001538EF">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Портфељ</w:t>
            </w:r>
          </w:p>
        </w:tc>
        <w:tc>
          <w:tcPr>
            <w:tcW w:w="1490" w:type="dxa"/>
            <w:shd w:val="clear" w:color="auto" w:fill="8DB3E2" w:themeFill="text2" w:themeFillTint="66"/>
            <w:vAlign w:val="center"/>
            <w:hideMark/>
          </w:tcPr>
          <w:p w14:paraId="02CEFA8C" w14:textId="77777777" w:rsidR="00295AE9" w:rsidRPr="00BC6981" w:rsidRDefault="00295AE9" w:rsidP="001538EF">
            <w:pPr>
              <w:jc w:val="center"/>
              <w:rPr>
                <w:rFonts w:asciiTheme="minorHAnsi" w:hAnsiTheme="minorHAnsi"/>
                <w:b/>
                <w:sz w:val="18"/>
                <w:szCs w:val="18"/>
                <w:lang w:val="sr-Latn-RS" w:eastAsia="sr-Latn-RS"/>
              </w:rPr>
            </w:pPr>
            <w:r w:rsidRPr="00BC6981">
              <w:rPr>
                <w:rFonts w:asciiTheme="minorHAnsi" w:hAnsiTheme="minorHAnsi"/>
                <w:b/>
                <w:sz w:val="18"/>
                <w:szCs w:val="18"/>
                <w:lang w:val="sr-Latn-RS" w:eastAsia="sr-Latn-RS"/>
              </w:rPr>
              <w:t>Уговорени кредитни портф</w:t>
            </w:r>
            <w:r>
              <w:rPr>
                <w:rFonts w:asciiTheme="minorHAnsi" w:hAnsiTheme="minorHAnsi"/>
                <w:b/>
                <w:sz w:val="18"/>
                <w:szCs w:val="18"/>
                <w:lang w:val="sr-Cyrl-BA" w:eastAsia="sr-Latn-RS"/>
              </w:rPr>
              <w:t>олио</w:t>
            </w:r>
          </w:p>
        </w:tc>
        <w:tc>
          <w:tcPr>
            <w:tcW w:w="1505" w:type="dxa"/>
            <w:shd w:val="clear" w:color="auto" w:fill="8DB3E2" w:themeFill="text2" w:themeFillTint="66"/>
            <w:vAlign w:val="center"/>
            <w:hideMark/>
          </w:tcPr>
          <w:p w14:paraId="596E8DD2" w14:textId="77777777" w:rsidR="00295AE9" w:rsidRPr="00BC6981" w:rsidRDefault="00295AE9" w:rsidP="0027783B">
            <w:pPr>
              <w:jc w:val="center"/>
              <w:rPr>
                <w:rFonts w:asciiTheme="minorHAnsi" w:hAnsiTheme="minorHAnsi"/>
                <w:b/>
                <w:sz w:val="18"/>
                <w:szCs w:val="18"/>
                <w:lang w:val="sr-Latn-RS" w:eastAsia="sr-Latn-RS"/>
              </w:rPr>
            </w:pPr>
            <w:r w:rsidRPr="00BC6981">
              <w:rPr>
                <w:rFonts w:asciiTheme="minorHAnsi" w:hAnsiTheme="minorHAnsi"/>
                <w:b/>
                <w:sz w:val="18"/>
                <w:szCs w:val="18"/>
                <w:lang w:val="sr-Latn-RS" w:eastAsia="sr-Latn-RS"/>
              </w:rPr>
              <w:t>Реализовани кредитни портф</w:t>
            </w:r>
            <w:r>
              <w:rPr>
                <w:rFonts w:asciiTheme="minorHAnsi" w:hAnsiTheme="minorHAnsi"/>
                <w:b/>
                <w:sz w:val="18"/>
                <w:szCs w:val="18"/>
                <w:lang w:val="sr-Cyrl-BA" w:eastAsia="sr-Latn-RS"/>
              </w:rPr>
              <w:t>олио</w:t>
            </w:r>
          </w:p>
        </w:tc>
        <w:tc>
          <w:tcPr>
            <w:tcW w:w="1337" w:type="dxa"/>
            <w:shd w:val="clear" w:color="auto" w:fill="8DB3E2" w:themeFill="text2" w:themeFillTint="66"/>
            <w:vAlign w:val="center"/>
            <w:hideMark/>
          </w:tcPr>
          <w:p w14:paraId="01439DA4" w14:textId="77777777" w:rsidR="00295AE9" w:rsidRPr="00BC6981" w:rsidRDefault="00295AE9" w:rsidP="001538EF">
            <w:pPr>
              <w:jc w:val="center"/>
              <w:rPr>
                <w:rFonts w:asciiTheme="minorHAnsi" w:hAnsiTheme="minorHAnsi"/>
                <w:b/>
                <w:sz w:val="18"/>
                <w:szCs w:val="18"/>
                <w:lang w:val="sr-Latn-RS" w:eastAsia="sr-Latn-RS"/>
              </w:rPr>
            </w:pPr>
            <w:r w:rsidRPr="00BC6981">
              <w:rPr>
                <w:rFonts w:asciiTheme="minorHAnsi" w:hAnsiTheme="minorHAnsi"/>
                <w:b/>
                <w:sz w:val="18"/>
                <w:szCs w:val="18"/>
                <w:lang w:val="sr-Latn-RS" w:eastAsia="sr-Latn-RS"/>
              </w:rPr>
              <w:t>Стопа реализације</w:t>
            </w:r>
          </w:p>
        </w:tc>
      </w:tr>
      <w:tr w:rsidR="00295AE9" w:rsidRPr="005767EF" w14:paraId="5C8065A0" w14:textId="77777777" w:rsidTr="008A3C49">
        <w:trPr>
          <w:trHeight w:val="219"/>
        </w:trPr>
        <w:tc>
          <w:tcPr>
            <w:tcW w:w="3351" w:type="dxa"/>
            <w:vMerge w:val="restart"/>
            <w:shd w:val="clear" w:color="auto" w:fill="auto"/>
            <w:vAlign w:val="center"/>
            <w:hideMark/>
          </w:tcPr>
          <w:p w14:paraId="0D95CA14" w14:textId="77777777" w:rsidR="00295AE9" w:rsidRPr="00BC6981" w:rsidRDefault="00295AE9" w:rsidP="00295AE9">
            <w:pPr>
              <w:jc w:val="left"/>
              <w:rPr>
                <w:rFonts w:asciiTheme="minorHAnsi" w:hAnsiTheme="minorHAnsi"/>
                <w:caps/>
                <w:sz w:val="18"/>
                <w:szCs w:val="18"/>
                <w:lang w:val="sr-Latn-RS" w:eastAsia="sr-Latn-RS"/>
              </w:rPr>
            </w:pPr>
            <w:r w:rsidRPr="00BC6981">
              <w:rPr>
                <w:rFonts w:asciiTheme="minorHAnsi" w:hAnsiTheme="minorHAnsi"/>
                <w:sz w:val="18"/>
                <w:szCs w:val="18"/>
                <w:lang w:val="sr-Latn-RS" w:eastAsia="sr-Latn-RS"/>
              </w:rPr>
              <w:t>Procredit bank д.д. Сарајево</w:t>
            </w:r>
          </w:p>
        </w:tc>
        <w:tc>
          <w:tcPr>
            <w:tcW w:w="1101" w:type="dxa"/>
          </w:tcPr>
          <w:p w14:paraId="46762543"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Општи</w:t>
            </w:r>
          </w:p>
        </w:tc>
        <w:tc>
          <w:tcPr>
            <w:tcW w:w="1490" w:type="dxa"/>
            <w:shd w:val="clear" w:color="auto" w:fill="auto"/>
            <w:vAlign w:val="center"/>
            <w:hideMark/>
          </w:tcPr>
          <w:p w14:paraId="3D80622E" w14:textId="77777777" w:rsidR="00295AE9" w:rsidRPr="00BC6981" w:rsidRDefault="00295AE9" w:rsidP="001538EF">
            <w:pPr>
              <w:jc w:val="right"/>
              <w:rPr>
                <w:rFonts w:asciiTheme="minorHAnsi" w:hAnsiTheme="minorHAnsi"/>
                <w:sz w:val="18"/>
                <w:szCs w:val="18"/>
                <w:lang w:val="sr-Latn-RS" w:eastAsia="sr-Latn-RS"/>
              </w:rPr>
            </w:pPr>
            <w:r>
              <w:rPr>
                <w:rFonts w:asciiTheme="minorHAnsi" w:hAnsiTheme="minorHAnsi"/>
                <w:sz w:val="18"/>
                <w:szCs w:val="18"/>
                <w:lang w:val="sr-Cyrl-RS" w:eastAsia="sr-Latn-RS"/>
              </w:rPr>
              <w:t>4</w:t>
            </w:r>
            <w:r w:rsidRPr="00BC6981">
              <w:rPr>
                <w:rFonts w:asciiTheme="minorHAnsi" w:hAnsiTheme="minorHAnsi"/>
                <w:sz w:val="18"/>
                <w:szCs w:val="18"/>
                <w:lang w:val="sr-Latn-RS" w:eastAsia="sr-Latn-RS"/>
              </w:rPr>
              <w:t>0.000.000,00</w:t>
            </w:r>
          </w:p>
        </w:tc>
        <w:tc>
          <w:tcPr>
            <w:tcW w:w="1505" w:type="dxa"/>
            <w:shd w:val="clear" w:color="auto" w:fill="auto"/>
            <w:vAlign w:val="center"/>
            <w:hideMark/>
          </w:tcPr>
          <w:p w14:paraId="014350FD"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30.363.000,01</w:t>
            </w:r>
          </w:p>
        </w:tc>
        <w:tc>
          <w:tcPr>
            <w:tcW w:w="1337" w:type="dxa"/>
            <w:shd w:val="clear" w:color="auto" w:fill="auto"/>
            <w:noWrap/>
            <w:vAlign w:val="center"/>
            <w:hideMark/>
          </w:tcPr>
          <w:p w14:paraId="0E8697F6" w14:textId="77777777" w:rsidR="00295AE9" w:rsidRPr="00BC6981" w:rsidRDefault="00295AE9" w:rsidP="001538EF">
            <w:pPr>
              <w:jc w:val="center"/>
              <w:rPr>
                <w:rFonts w:asciiTheme="minorHAnsi" w:hAnsiTheme="minorHAnsi"/>
                <w:sz w:val="18"/>
                <w:szCs w:val="18"/>
                <w:lang w:val="sr-Latn-RS" w:eastAsia="sr-Latn-RS"/>
              </w:rPr>
            </w:pPr>
            <w:r>
              <w:rPr>
                <w:rFonts w:asciiTheme="minorHAnsi" w:hAnsiTheme="minorHAnsi"/>
                <w:sz w:val="18"/>
                <w:szCs w:val="18"/>
                <w:lang w:val="sr-Cyrl-RS" w:eastAsia="sr-Latn-RS"/>
              </w:rPr>
              <w:t>75,91</w:t>
            </w:r>
            <w:r w:rsidRPr="00BC6981">
              <w:rPr>
                <w:rFonts w:asciiTheme="minorHAnsi" w:hAnsiTheme="minorHAnsi"/>
                <w:sz w:val="18"/>
                <w:szCs w:val="18"/>
                <w:lang w:val="sr-Latn-RS" w:eastAsia="sr-Latn-RS"/>
              </w:rPr>
              <w:t>%</w:t>
            </w:r>
          </w:p>
        </w:tc>
      </w:tr>
      <w:tr w:rsidR="00295AE9" w:rsidRPr="005767EF" w14:paraId="381C4D58" w14:textId="77777777" w:rsidTr="008A3C49">
        <w:trPr>
          <w:trHeight w:val="219"/>
        </w:trPr>
        <w:tc>
          <w:tcPr>
            <w:tcW w:w="3351" w:type="dxa"/>
            <w:vMerge/>
            <w:shd w:val="clear" w:color="auto" w:fill="auto"/>
            <w:vAlign w:val="center"/>
          </w:tcPr>
          <w:p w14:paraId="44C78560" w14:textId="77777777" w:rsidR="00295AE9" w:rsidRPr="00BC6981" w:rsidRDefault="00295AE9" w:rsidP="001538EF">
            <w:pPr>
              <w:jc w:val="left"/>
              <w:rPr>
                <w:rFonts w:asciiTheme="minorHAnsi" w:hAnsiTheme="minorHAnsi"/>
                <w:sz w:val="18"/>
                <w:szCs w:val="18"/>
                <w:lang w:val="sr-Latn-RS" w:eastAsia="sr-Latn-RS"/>
              </w:rPr>
            </w:pPr>
          </w:p>
        </w:tc>
        <w:tc>
          <w:tcPr>
            <w:tcW w:w="1101" w:type="dxa"/>
          </w:tcPr>
          <w:p w14:paraId="355498BB"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ОИЕ</w:t>
            </w:r>
          </w:p>
        </w:tc>
        <w:tc>
          <w:tcPr>
            <w:tcW w:w="1490" w:type="dxa"/>
            <w:shd w:val="clear" w:color="auto" w:fill="auto"/>
            <w:vAlign w:val="center"/>
          </w:tcPr>
          <w:p w14:paraId="09740425"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20.000.000,00</w:t>
            </w:r>
          </w:p>
        </w:tc>
        <w:tc>
          <w:tcPr>
            <w:tcW w:w="1505" w:type="dxa"/>
            <w:shd w:val="clear" w:color="auto" w:fill="auto"/>
            <w:vAlign w:val="center"/>
          </w:tcPr>
          <w:p w14:paraId="42CFBA7C" w14:textId="77777777" w:rsidR="00295AE9" w:rsidRDefault="00295AE9" w:rsidP="001538EF">
            <w:pPr>
              <w:jc w:val="right"/>
              <w:rPr>
                <w:rFonts w:asciiTheme="minorHAnsi" w:hAnsiTheme="minorHAnsi"/>
                <w:sz w:val="18"/>
                <w:szCs w:val="18"/>
                <w:lang w:val="sr-Cyrl-RS" w:eastAsia="sr-Latn-RS"/>
              </w:rPr>
            </w:pPr>
            <w:r w:rsidRPr="00295AE9">
              <w:rPr>
                <w:rFonts w:asciiTheme="minorHAnsi" w:hAnsiTheme="minorHAnsi"/>
                <w:sz w:val="18"/>
                <w:szCs w:val="18"/>
                <w:lang w:val="sr-Cyrl-RS" w:eastAsia="sr-Latn-RS"/>
              </w:rPr>
              <w:t>3.175.000,02</w:t>
            </w:r>
          </w:p>
        </w:tc>
        <w:tc>
          <w:tcPr>
            <w:tcW w:w="1337" w:type="dxa"/>
            <w:shd w:val="clear" w:color="auto" w:fill="auto"/>
            <w:noWrap/>
            <w:vAlign w:val="center"/>
          </w:tcPr>
          <w:p w14:paraId="363205FB" w14:textId="77777777" w:rsidR="00295AE9" w:rsidRDefault="00295AE9" w:rsidP="001538EF">
            <w:pPr>
              <w:jc w:val="center"/>
              <w:rPr>
                <w:rFonts w:asciiTheme="minorHAnsi" w:hAnsiTheme="minorHAnsi"/>
                <w:sz w:val="18"/>
                <w:szCs w:val="18"/>
                <w:lang w:val="sr-Cyrl-RS" w:eastAsia="sr-Latn-RS"/>
              </w:rPr>
            </w:pPr>
            <w:r>
              <w:rPr>
                <w:rFonts w:asciiTheme="minorHAnsi" w:hAnsiTheme="minorHAnsi"/>
                <w:sz w:val="18"/>
                <w:szCs w:val="18"/>
                <w:lang w:val="sr-Cyrl-RS" w:eastAsia="sr-Latn-RS"/>
              </w:rPr>
              <w:t>15,87%</w:t>
            </w:r>
          </w:p>
        </w:tc>
      </w:tr>
      <w:tr w:rsidR="00295AE9" w:rsidRPr="005767EF" w14:paraId="76FA3BCC" w14:textId="77777777" w:rsidTr="008A3C49">
        <w:trPr>
          <w:trHeight w:val="219"/>
        </w:trPr>
        <w:tc>
          <w:tcPr>
            <w:tcW w:w="3351" w:type="dxa"/>
            <w:vMerge w:val="restart"/>
            <w:shd w:val="clear" w:color="auto" w:fill="auto"/>
            <w:vAlign w:val="center"/>
            <w:hideMark/>
          </w:tcPr>
          <w:p w14:paraId="30CFF6AC" w14:textId="77777777" w:rsidR="00295AE9" w:rsidRPr="00BC6981" w:rsidRDefault="00295AE9" w:rsidP="001538EF">
            <w:pPr>
              <w:jc w:val="left"/>
              <w:rPr>
                <w:rFonts w:asciiTheme="minorHAnsi" w:hAnsiTheme="minorHAnsi"/>
                <w:caps/>
                <w:sz w:val="18"/>
                <w:szCs w:val="18"/>
                <w:lang w:val="sr-Latn-RS" w:eastAsia="sr-Latn-RS"/>
              </w:rPr>
            </w:pPr>
            <w:r w:rsidRPr="00BC6981">
              <w:rPr>
                <w:rFonts w:asciiTheme="minorHAnsi" w:hAnsiTheme="minorHAnsi"/>
                <w:sz w:val="18"/>
                <w:szCs w:val="18"/>
                <w:lang w:val="sr-Latn-RS" w:eastAsia="sr-Latn-RS"/>
              </w:rPr>
              <w:t xml:space="preserve">Unicredit bank а.д. Бања </w:t>
            </w:r>
            <w:r w:rsidRPr="00BC6981">
              <w:rPr>
                <w:rFonts w:asciiTheme="minorHAnsi" w:hAnsiTheme="minorHAnsi"/>
                <w:sz w:val="18"/>
                <w:szCs w:val="18"/>
                <w:lang w:val="sr-Cyrl-RS" w:eastAsia="sr-Latn-RS"/>
              </w:rPr>
              <w:t>Л</w:t>
            </w:r>
            <w:r w:rsidRPr="00BC6981">
              <w:rPr>
                <w:rFonts w:asciiTheme="minorHAnsi" w:hAnsiTheme="minorHAnsi"/>
                <w:sz w:val="18"/>
                <w:szCs w:val="18"/>
                <w:lang w:val="sr-Latn-RS" w:eastAsia="sr-Latn-RS"/>
              </w:rPr>
              <w:t>ука</w:t>
            </w:r>
          </w:p>
        </w:tc>
        <w:tc>
          <w:tcPr>
            <w:tcW w:w="1101" w:type="dxa"/>
          </w:tcPr>
          <w:p w14:paraId="3536E5D3"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Општи</w:t>
            </w:r>
          </w:p>
        </w:tc>
        <w:tc>
          <w:tcPr>
            <w:tcW w:w="1490" w:type="dxa"/>
            <w:shd w:val="clear" w:color="auto" w:fill="auto"/>
            <w:vAlign w:val="center"/>
            <w:hideMark/>
          </w:tcPr>
          <w:p w14:paraId="161B921E" w14:textId="77777777" w:rsidR="00295AE9" w:rsidRPr="00BC6981" w:rsidRDefault="00295AE9" w:rsidP="001538EF">
            <w:pPr>
              <w:jc w:val="right"/>
              <w:rPr>
                <w:rFonts w:asciiTheme="minorHAnsi" w:hAnsiTheme="minorHAnsi"/>
                <w:sz w:val="18"/>
                <w:szCs w:val="18"/>
                <w:lang w:val="sr-Latn-RS" w:eastAsia="sr-Latn-RS"/>
              </w:rPr>
            </w:pPr>
            <w:r>
              <w:rPr>
                <w:rFonts w:asciiTheme="minorHAnsi" w:hAnsiTheme="minorHAnsi"/>
                <w:sz w:val="18"/>
                <w:szCs w:val="18"/>
                <w:lang w:val="sr-Cyrl-RS" w:eastAsia="sr-Latn-RS"/>
              </w:rPr>
              <w:t>3</w:t>
            </w:r>
            <w:r w:rsidRPr="00BC6981">
              <w:rPr>
                <w:rFonts w:asciiTheme="minorHAnsi" w:hAnsiTheme="minorHAnsi"/>
                <w:sz w:val="18"/>
                <w:szCs w:val="18"/>
                <w:lang w:val="sr-Latn-RS" w:eastAsia="sr-Latn-RS"/>
              </w:rPr>
              <w:t>0.000.000,00</w:t>
            </w:r>
          </w:p>
        </w:tc>
        <w:tc>
          <w:tcPr>
            <w:tcW w:w="1505" w:type="dxa"/>
            <w:shd w:val="clear" w:color="auto" w:fill="auto"/>
            <w:vAlign w:val="center"/>
            <w:hideMark/>
          </w:tcPr>
          <w:p w14:paraId="3AC140CC"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19.022.566,88</w:t>
            </w:r>
          </w:p>
        </w:tc>
        <w:tc>
          <w:tcPr>
            <w:tcW w:w="1337" w:type="dxa"/>
            <w:shd w:val="clear" w:color="auto" w:fill="auto"/>
            <w:noWrap/>
            <w:vAlign w:val="center"/>
            <w:hideMark/>
          </w:tcPr>
          <w:p w14:paraId="22DF98EB" w14:textId="77777777" w:rsidR="00295AE9" w:rsidRPr="00BC6981" w:rsidRDefault="00295AE9" w:rsidP="001538EF">
            <w:pPr>
              <w:jc w:val="center"/>
              <w:rPr>
                <w:rFonts w:asciiTheme="minorHAnsi" w:hAnsiTheme="minorHAnsi"/>
                <w:sz w:val="18"/>
                <w:szCs w:val="18"/>
                <w:lang w:val="sr-Latn-RS" w:eastAsia="sr-Latn-RS"/>
              </w:rPr>
            </w:pPr>
            <w:r>
              <w:rPr>
                <w:rFonts w:asciiTheme="minorHAnsi" w:hAnsiTheme="minorHAnsi"/>
                <w:sz w:val="18"/>
                <w:szCs w:val="18"/>
                <w:lang w:val="sr-Cyrl-RS" w:eastAsia="sr-Latn-RS"/>
              </w:rPr>
              <w:t>38,04</w:t>
            </w:r>
            <w:r w:rsidRPr="00BC6981">
              <w:rPr>
                <w:rFonts w:asciiTheme="minorHAnsi" w:hAnsiTheme="minorHAnsi"/>
                <w:sz w:val="18"/>
                <w:szCs w:val="18"/>
                <w:lang w:val="sr-Latn-RS" w:eastAsia="sr-Latn-RS"/>
              </w:rPr>
              <w:t>%</w:t>
            </w:r>
          </w:p>
        </w:tc>
      </w:tr>
      <w:tr w:rsidR="00295AE9" w:rsidRPr="005767EF" w14:paraId="3138DA72" w14:textId="77777777" w:rsidTr="008A3C49">
        <w:trPr>
          <w:trHeight w:val="219"/>
        </w:trPr>
        <w:tc>
          <w:tcPr>
            <w:tcW w:w="3351" w:type="dxa"/>
            <w:vMerge/>
            <w:shd w:val="clear" w:color="auto" w:fill="auto"/>
            <w:vAlign w:val="center"/>
          </w:tcPr>
          <w:p w14:paraId="78D4E56F" w14:textId="77777777" w:rsidR="00295AE9" w:rsidRPr="00874DE2" w:rsidRDefault="00295AE9" w:rsidP="001538EF">
            <w:pPr>
              <w:jc w:val="left"/>
              <w:rPr>
                <w:rFonts w:asciiTheme="minorHAnsi" w:hAnsiTheme="minorHAnsi"/>
                <w:color w:val="auto"/>
                <w:sz w:val="18"/>
                <w:szCs w:val="18"/>
                <w:lang w:val="sr-Latn-RS" w:eastAsia="sr-Latn-RS"/>
              </w:rPr>
            </w:pPr>
          </w:p>
        </w:tc>
        <w:tc>
          <w:tcPr>
            <w:tcW w:w="1101" w:type="dxa"/>
          </w:tcPr>
          <w:p w14:paraId="1A72DBEC" w14:textId="77777777" w:rsidR="00295AE9" w:rsidRPr="00874DE2"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ОИЕ</w:t>
            </w:r>
          </w:p>
        </w:tc>
        <w:tc>
          <w:tcPr>
            <w:tcW w:w="1490" w:type="dxa"/>
            <w:shd w:val="clear" w:color="auto" w:fill="auto"/>
            <w:vAlign w:val="center"/>
          </w:tcPr>
          <w:p w14:paraId="436BA54E" w14:textId="77777777" w:rsidR="00295AE9" w:rsidRPr="00874DE2"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20.000.000,00</w:t>
            </w:r>
          </w:p>
        </w:tc>
        <w:tc>
          <w:tcPr>
            <w:tcW w:w="1505" w:type="dxa"/>
            <w:shd w:val="clear" w:color="auto" w:fill="auto"/>
            <w:vAlign w:val="center"/>
          </w:tcPr>
          <w:p w14:paraId="13B1807F"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0,00</w:t>
            </w:r>
          </w:p>
        </w:tc>
        <w:tc>
          <w:tcPr>
            <w:tcW w:w="1337" w:type="dxa"/>
            <w:shd w:val="clear" w:color="auto" w:fill="auto"/>
            <w:noWrap/>
            <w:vAlign w:val="center"/>
          </w:tcPr>
          <w:p w14:paraId="1B9B55D7" w14:textId="77777777" w:rsidR="00295AE9" w:rsidRPr="00295AE9" w:rsidRDefault="00295AE9" w:rsidP="001538EF">
            <w:pPr>
              <w:jc w:val="center"/>
              <w:rPr>
                <w:rFonts w:asciiTheme="minorHAnsi" w:hAnsiTheme="minorHAnsi"/>
                <w:sz w:val="18"/>
                <w:szCs w:val="18"/>
                <w:lang w:val="sr-Cyrl-RS" w:eastAsia="sr-Latn-RS"/>
              </w:rPr>
            </w:pPr>
            <w:r>
              <w:rPr>
                <w:rFonts w:asciiTheme="minorHAnsi" w:hAnsiTheme="minorHAnsi"/>
                <w:sz w:val="18"/>
                <w:szCs w:val="18"/>
                <w:lang w:val="sr-Cyrl-RS" w:eastAsia="sr-Latn-RS"/>
              </w:rPr>
              <w:t>0,00%</w:t>
            </w:r>
          </w:p>
        </w:tc>
      </w:tr>
      <w:tr w:rsidR="00295AE9" w:rsidRPr="005767EF" w14:paraId="1E988FC7" w14:textId="77777777" w:rsidTr="008A3C49">
        <w:trPr>
          <w:trHeight w:val="219"/>
        </w:trPr>
        <w:tc>
          <w:tcPr>
            <w:tcW w:w="3351" w:type="dxa"/>
            <w:vMerge w:val="restart"/>
            <w:shd w:val="clear" w:color="auto" w:fill="auto"/>
            <w:vAlign w:val="center"/>
            <w:hideMark/>
          </w:tcPr>
          <w:p w14:paraId="6D2109DF" w14:textId="77777777" w:rsidR="00295AE9" w:rsidRPr="00874DE2" w:rsidRDefault="00295AE9" w:rsidP="001538EF">
            <w:pPr>
              <w:jc w:val="left"/>
              <w:rPr>
                <w:rFonts w:asciiTheme="minorHAnsi" w:hAnsiTheme="minorHAnsi"/>
                <w:caps/>
                <w:color w:val="auto"/>
                <w:sz w:val="18"/>
                <w:szCs w:val="18"/>
                <w:lang w:val="sr-Latn-RS" w:eastAsia="sr-Latn-RS"/>
              </w:rPr>
            </w:pPr>
            <w:r w:rsidRPr="00874DE2">
              <w:rPr>
                <w:rFonts w:asciiTheme="minorHAnsi" w:hAnsiTheme="minorHAnsi"/>
                <w:color w:val="auto"/>
                <w:sz w:val="18"/>
                <w:szCs w:val="18"/>
                <w:lang w:val="sr-Latn-RS" w:eastAsia="sr-Latn-RS"/>
              </w:rPr>
              <w:t xml:space="preserve">Мф банка а.д. Бања </w:t>
            </w:r>
            <w:r w:rsidRPr="00874DE2">
              <w:rPr>
                <w:rFonts w:asciiTheme="minorHAnsi" w:hAnsiTheme="minorHAnsi"/>
                <w:color w:val="auto"/>
                <w:sz w:val="18"/>
                <w:szCs w:val="18"/>
                <w:lang w:val="sr-Cyrl-RS" w:eastAsia="sr-Latn-RS"/>
              </w:rPr>
              <w:t>Л</w:t>
            </w:r>
            <w:r w:rsidRPr="00874DE2">
              <w:rPr>
                <w:rFonts w:asciiTheme="minorHAnsi" w:hAnsiTheme="minorHAnsi"/>
                <w:color w:val="auto"/>
                <w:sz w:val="18"/>
                <w:szCs w:val="18"/>
                <w:lang w:val="sr-Latn-RS" w:eastAsia="sr-Latn-RS"/>
              </w:rPr>
              <w:t>ука</w:t>
            </w:r>
          </w:p>
        </w:tc>
        <w:tc>
          <w:tcPr>
            <w:tcW w:w="1101" w:type="dxa"/>
          </w:tcPr>
          <w:p w14:paraId="2784B4A3" w14:textId="77777777" w:rsidR="00295AE9" w:rsidRPr="00874DE2"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Општи</w:t>
            </w:r>
          </w:p>
        </w:tc>
        <w:tc>
          <w:tcPr>
            <w:tcW w:w="1490" w:type="dxa"/>
            <w:shd w:val="clear" w:color="auto" w:fill="auto"/>
            <w:vAlign w:val="center"/>
            <w:hideMark/>
          </w:tcPr>
          <w:p w14:paraId="2912982C" w14:textId="77777777" w:rsidR="00295AE9" w:rsidRPr="00874DE2" w:rsidRDefault="00295AE9" w:rsidP="001538EF">
            <w:pPr>
              <w:jc w:val="right"/>
              <w:rPr>
                <w:rFonts w:asciiTheme="minorHAnsi" w:hAnsiTheme="minorHAnsi"/>
                <w:sz w:val="18"/>
                <w:szCs w:val="18"/>
                <w:lang w:val="sr-Latn-RS" w:eastAsia="sr-Latn-RS"/>
              </w:rPr>
            </w:pPr>
            <w:r w:rsidRPr="00874DE2">
              <w:rPr>
                <w:rFonts w:asciiTheme="minorHAnsi" w:hAnsiTheme="minorHAnsi"/>
                <w:sz w:val="18"/>
                <w:szCs w:val="18"/>
                <w:lang w:val="sr-Cyrl-RS" w:eastAsia="sr-Latn-RS"/>
              </w:rPr>
              <w:t>1</w:t>
            </w:r>
            <w:r>
              <w:rPr>
                <w:rFonts w:asciiTheme="minorHAnsi" w:hAnsiTheme="minorHAnsi"/>
                <w:sz w:val="18"/>
                <w:szCs w:val="18"/>
                <w:lang w:val="sr-Cyrl-RS" w:eastAsia="sr-Latn-RS"/>
              </w:rPr>
              <w:t>0</w:t>
            </w:r>
            <w:r w:rsidRPr="00874DE2">
              <w:rPr>
                <w:rFonts w:asciiTheme="minorHAnsi" w:hAnsiTheme="minorHAnsi"/>
                <w:sz w:val="18"/>
                <w:szCs w:val="18"/>
                <w:lang w:val="sr-Latn-RS" w:eastAsia="sr-Latn-RS"/>
              </w:rPr>
              <w:t>.000.000,00</w:t>
            </w:r>
          </w:p>
        </w:tc>
        <w:tc>
          <w:tcPr>
            <w:tcW w:w="1505" w:type="dxa"/>
            <w:shd w:val="clear" w:color="auto" w:fill="auto"/>
            <w:vAlign w:val="center"/>
            <w:hideMark/>
          </w:tcPr>
          <w:p w14:paraId="4964AA59"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3.850.000,00</w:t>
            </w:r>
          </w:p>
        </w:tc>
        <w:tc>
          <w:tcPr>
            <w:tcW w:w="1337" w:type="dxa"/>
            <w:shd w:val="clear" w:color="auto" w:fill="auto"/>
            <w:noWrap/>
            <w:vAlign w:val="center"/>
            <w:hideMark/>
          </w:tcPr>
          <w:p w14:paraId="35E7F46B" w14:textId="77777777" w:rsidR="00295AE9" w:rsidRPr="00874DE2" w:rsidRDefault="00295AE9" w:rsidP="001538EF">
            <w:pPr>
              <w:jc w:val="center"/>
              <w:rPr>
                <w:rFonts w:asciiTheme="minorHAnsi" w:hAnsiTheme="minorHAnsi"/>
                <w:sz w:val="18"/>
                <w:szCs w:val="18"/>
                <w:lang w:val="sr-Latn-RS" w:eastAsia="sr-Latn-RS"/>
              </w:rPr>
            </w:pPr>
            <w:r w:rsidRPr="00874DE2">
              <w:rPr>
                <w:rFonts w:asciiTheme="minorHAnsi" w:hAnsiTheme="minorHAnsi"/>
                <w:sz w:val="18"/>
                <w:szCs w:val="18"/>
                <w:lang w:val="sr-Latn-RS" w:eastAsia="sr-Latn-RS"/>
              </w:rPr>
              <w:t>34,10%</w:t>
            </w:r>
          </w:p>
        </w:tc>
      </w:tr>
      <w:tr w:rsidR="00295AE9" w:rsidRPr="005767EF" w14:paraId="4788E2B5" w14:textId="77777777" w:rsidTr="008A3C49">
        <w:trPr>
          <w:trHeight w:val="219"/>
        </w:trPr>
        <w:tc>
          <w:tcPr>
            <w:tcW w:w="3351" w:type="dxa"/>
            <w:vMerge/>
            <w:shd w:val="clear" w:color="auto" w:fill="auto"/>
            <w:vAlign w:val="center"/>
          </w:tcPr>
          <w:p w14:paraId="5DD09624" w14:textId="77777777" w:rsidR="00295AE9" w:rsidRPr="00874DE2" w:rsidRDefault="00295AE9" w:rsidP="00CA5F52">
            <w:pPr>
              <w:jc w:val="left"/>
              <w:rPr>
                <w:rFonts w:asciiTheme="minorHAnsi" w:hAnsiTheme="minorHAnsi"/>
                <w:bCs/>
                <w:color w:val="auto"/>
                <w:sz w:val="18"/>
                <w:szCs w:val="18"/>
                <w:lang w:val="sr-Cyrl-BA" w:eastAsia="sr-Latn-RS"/>
              </w:rPr>
            </w:pPr>
          </w:p>
        </w:tc>
        <w:tc>
          <w:tcPr>
            <w:tcW w:w="1101" w:type="dxa"/>
          </w:tcPr>
          <w:p w14:paraId="261CBC8B"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val="sr-Cyrl-RS" w:eastAsia="sr-Latn-RS"/>
              </w:rPr>
              <w:t>ОИЕ</w:t>
            </w:r>
          </w:p>
        </w:tc>
        <w:tc>
          <w:tcPr>
            <w:tcW w:w="1490" w:type="dxa"/>
            <w:shd w:val="clear" w:color="auto" w:fill="auto"/>
            <w:vAlign w:val="center"/>
          </w:tcPr>
          <w:p w14:paraId="3779F5B1"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val="sr-Cyrl-RS" w:eastAsia="sr-Latn-RS"/>
              </w:rPr>
              <w:t>5.000.000,00</w:t>
            </w:r>
          </w:p>
        </w:tc>
        <w:tc>
          <w:tcPr>
            <w:tcW w:w="1505" w:type="dxa"/>
            <w:shd w:val="clear" w:color="auto" w:fill="auto"/>
            <w:vAlign w:val="center"/>
          </w:tcPr>
          <w:p w14:paraId="5CD34EEE"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val="sr-Cyrl-RS" w:eastAsia="sr-Latn-RS"/>
              </w:rPr>
              <w:t>0,00</w:t>
            </w:r>
          </w:p>
        </w:tc>
        <w:tc>
          <w:tcPr>
            <w:tcW w:w="1337" w:type="dxa"/>
            <w:shd w:val="clear" w:color="auto" w:fill="auto"/>
            <w:noWrap/>
            <w:vAlign w:val="center"/>
          </w:tcPr>
          <w:p w14:paraId="3187F32D" w14:textId="77777777" w:rsidR="00295AE9" w:rsidRPr="00874DE2" w:rsidRDefault="00295AE9" w:rsidP="001538EF">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0,00%</w:t>
            </w:r>
          </w:p>
        </w:tc>
      </w:tr>
      <w:tr w:rsidR="00295AE9" w:rsidRPr="005767EF" w14:paraId="2A4CDAEF" w14:textId="77777777" w:rsidTr="008A3C49">
        <w:trPr>
          <w:trHeight w:val="265"/>
        </w:trPr>
        <w:tc>
          <w:tcPr>
            <w:tcW w:w="3351" w:type="dxa"/>
            <w:shd w:val="clear" w:color="auto" w:fill="auto"/>
            <w:vAlign w:val="center"/>
          </w:tcPr>
          <w:p w14:paraId="696E2007" w14:textId="77777777" w:rsidR="00295AE9" w:rsidRPr="00874DE2" w:rsidRDefault="00295AE9" w:rsidP="00CA5F52">
            <w:pPr>
              <w:jc w:val="left"/>
              <w:rPr>
                <w:rFonts w:asciiTheme="minorHAnsi" w:hAnsiTheme="minorHAnsi"/>
                <w:bCs/>
                <w:color w:val="auto"/>
                <w:sz w:val="18"/>
                <w:szCs w:val="18"/>
                <w:lang w:val="sr-Cyrl-BA" w:eastAsia="sr-Latn-RS"/>
              </w:rPr>
            </w:pPr>
            <w:r w:rsidRPr="00874DE2">
              <w:rPr>
                <w:rFonts w:asciiTheme="minorHAnsi" w:hAnsiTheme="minorHAnsi"/>
                <w:bCs/>
                <w:color w:val="auto"/>
                <w:sz w:val="18"/>
                <w:szCs w:val="18"/>
                <w:lang w:val="sr-Cyrl-BA" w:eastAsia="sr-Latn-RS"/>
              </w:rPr>
              <w:t>Sparkasse bank д.д. БИХ</w:t>
            </w:r>
          </w:p>
        </w:tc>
        <w:tc>
          <w:tcPr>
            <w:tcW w:w="1101" w:type="dxa"/>
          </w:tcPr>
          <w:p w14:paraId="40CFAA6C"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val="sr-Cyrl-RS" w:eastAsia="sr-Latn-RS"/>
              </w:rPr>
              <w:t>Општи</w:t>
            </w:r>
          </w:p>
        </w:tc>
        <w:tc>
          <w:tcPr>
            <w:tcW w:w="1490" w:type="dxa"/>
            <w:shd w:val="clear" w:color="auto" w:fill="auto"/>
            <w:vAlign w:val="center"/>
          </w:tcPr>
          <w:p w14:paraId="79C9D111" w14:textId="77777777" w:rsidR="00295AE9" w:rsidRPr="00874DE2" w:rsidRDefault="00295AE9" w:rsidP="001538EF">
            <w:pPr>
              <w:jc w:val="right"/>
              <w:rPr>
                <w:rFonts w:asciiTheme="minorHAnsi" w:hAnsiTheme="minorHAnsi"/>
                <w:bCs/>
                <w:sz w:val="18"/>
                <w:szCs w:val="18"/>
                <w:lang w:val="sr-Cyrl-RS" w:eastAsia="sr-Latn-RS"/>
              </w:rPr>
            </w:pPr>
            <w:r w:rsidRPr="00874DE2">
              <w:rPr>
                <w:rFonts w:asciiTheme="minorHAnsi" w:hAnsiTheme="minorHAnsi"/>
                <w:bCs/>
                <w:sz w:val="18"/>
                <w:szCs w:val="18"/>
                <w:lang w:val="sr-Cyrl-RS" w:eastAsia="sr-Latn-RS"/>
              </w:rPr>
              <w:t>10.000.000,00</w:t>
            </w:r>
          </w:p>
        </w:tc>
        <w:tc>
          <w:tcPr>
            <w:tcW w:w="1505" w:type="dxa"/>
            <w:shd w:val="clear" w:color="auto" w:fill="auto"/>
            <w:vAlign w:val="center"/>
          </w:tcPr>
          <w:p w14:paraId="4E665F3A" w14:textId="77777777" w:rsidR="00295AE9" w:rsidRPr="00874DE2" w:rsidRDefault="00295AE9" w:rsidP="001538EF">
            <w:pPr>
              <w:jc w:val="right"/>
              <w:rPr>
                <w:rFonts w:asciiTheme="minorHAnsi" w:hAnsiTheme="minorHAnsi"/>
                <w:bCs/>
                <w:sz w:val="18"/>
                <w:szCs w:val="18"/>
                <w:lang w:val="sr-Cyrl-RS" w:eastAsia="sr-Latn-RS"/>
              </w:rPr>
            </w:pPr>
            <w:r w:rsidRPr="00874DE2">
              <w:rPr>
                <w:rFonts w:asciiTheme="minorHAnsi" w:hAnsiTheme="minorHAnsi"/>
                <w:bCs/>
                <w:sz w:val="18"/>
                <w:szCs w:val="18"/>
                <w:lang w:val="sr-Cyrl-RS" w:eastAsia="sr-Latn-RS"/>
              </w:rPr>
              <w:t>0,00</w:t>
            </w:r>
          </w:p>
        </w:tc>
        <w:tc>
          <w:tcPr>
            <w:tcW w:w="1337" w:type="dxa"/>
            <w:shd w:val="clear" w:color="auto" w:fill="auto"/>
            <w:noWrap/>
            <w:vAlign w:val="center"/>
          </w:tcPr>
          <w:p w14:paraId="48601D32" w14:textId="77777777" w:rsidR="00295AE9" w:rsidRPr="00874DE2" w:rsidRDefault="00295AE9" w:rsidP="001538EF">
            <w:pPr>
              <w:jc w:val="center"/>
              <w:rPr>
                <w:rFonts w:asciiTheme="minorHAnsi" w:hAnsiTheme="minorHAnsi"/>
                <w:bCs/>
                <w:sz w:val="18"/>
                <w:szCs w:val="18"/>
                <w:lang w:val="sr-Cyrl-RS" w:eastAsia="sr-Latn-RS"/>
              </w:rPr>
            </w:pPr>
            <w:r w:rsidRPr="00874DE2">
              <w:rPr>
                <w:rFonts w:asciiTheme="minorHAnsi" w:hAnsiTheme="minorHAnsi"/>
                <w:bCs/>
                <w:sz w:val="18"/>
                <w:szCs w:val="18"/>
                <w:lang w:val="sr-Cyrl-RS" w:eastAsia="sr-Latn-RS"/>
              </w:rPr>
              <w:t>0,00</w:t>
            </w:r>
            <w:r>
              <w:rPr>
                <w:rFonts w:asciiTheme="minorHAnsi" w:hAnsiTheme="minorHAnsi"/>
                <w:bCs/>
                <w:sz w:val="18"/>
                <w:szCs w:val="18"/>
                <w:lang w:val="sr-Cyrl-RS" w:eastAsia="sr-Latn-RS"/>
              </w:rPr>
              <w:t>%</w:t>
            </w:r>
          </w:p>
        </w:tc>
      </w:tr>
      <w:tr w:rsidR="008A3C49" w:rsidRPr="005767EF" w14:paraId="4317D382" w14:textId="77777777" w:rsidTr="008A3C49">
        <w:trPr>
          <w:trHeight w:val="219"/>
        </w:trPr>
        <w:tc>
          <w:tcPr>
            <w:tcW w:w="4452" w:type="dxa"/>
            <w:gridSpan w:val="2"/>
            <w:shd w:val="clear" w:color="auto" w:fill="8DB3E2" w:themeFill="text2" w:themeFillTint="66"/>
            <w:vAlign w:val="center"/>
            <w:hideMark/>
          </w:tcPr>
          <w:p w14:paraId="6177DF82" w14:textId="77777777" w:rsidR="008A3C49" w:rsidRPr="008A3C49" w:rsidRDefault="004D360B" w:rsidP="008A3C49">
            <w:pPr>
              <w:jc w:val="center"/>
              <w:rPr>
                <w:rFonts w:asciiTheme="minorHAnsi" w:hAnsiTheme="minorHAnsi"/>
                <w:b/>
                <w:bCs/>
                <w:color w:val="auto"/>
                <w:sz w:val="20"/>
                <w:szCs w:val="20"/>
                <w:lang w:val="sr-Cyrl-BA" w:eastAsia="sr-Latn-RS"/>
              </w:rPr>
            </w:pPr>
            <w:r>
              <w:rPr>
                <w:rFonts w:asciiTheme="minorHAnsi" w:hAnsiTheme="minorHAnsi"/>
                <w:b/>
                <w:bCs/>
                <w:color w:val="auto"/>
                <w:sz w:val="20"/>
                <w:szCs w:val="20"/>
                <w:lang w:val="sr-Cyrl-BA" w:eastAsia="sr-Latn-RS"/>
              </w:rPr>
              <w:t>УКУПНО</w:t>
            </w:r>
          </w:p>
        </w:tc>
        <w:tc>
          <w:tcPr>
            <w:tcW w:w="1490" w:type="dxa"/>
            <w:shd w:val="clear" w:color="auto" w:fill="8DB3E2" w:themeFill="text2" w:themeFillTint="66"/>
            <w:vAlign w:val="center"/>
            <w:hideMark/>
          </w:tcPr>
          <w:p w14:paraId="4EC67284" w14:textId="77777777" w:rsidR="008A3C49" w:rsidRPr="008A3C49" w:rsidRDefault="008A3C49" w:rsidP="001538EF">
            <w:pPr>
              <w:jc w:val="right"/>
              <w:rPr>
                <w:rFonts w:asciiTheme="minorHAnsi" w:hAnsiTheme="minorHAnsi"/>
                <w:sz w:val="18"/>
                <w:szCs w:val="18"/>
                <w:lang w:val="sr-Latn-RS" w:eastAsia="sr-Latn-RS"/>
              </w:rPr>
            </w:pPr>
            <w:r w:rsidRPr="008A3C49">
              <w:rPr>
                <w:rFonts w:asciiTheme="minorHAnsi" w:hAnsiTheme="minorHAnsi"/>
                <w:b/>
                <w:bCs/>
                <w:sz w:val="18"/>
                <w:szCs w:val="18"/>
                <w:lang w:val="sr-Cyrl-RS" w:eastAsia="sr-Latn-RS"/>
              </w:rPr>
              <w:t>13</w:t>
            </w:r>
            <w:r w:rsidRPr="008A3C49">
              <w:rPr>
                <w:rFonts w:asciiTheme="minorHAnsi" w:hAnsiTheme="minorHAnsi"/>
                <w:b/>
                <w:bCs/>
                <w:sz w:val="18"/>
                <w:szCs w:val="18"/>
                <w:lang w:val="sr-Latn-RS" w:eastAsia="sr-Latn-RS"/>
              </w:rPr>
              <w:t>5.000.000,00</w:t>
            </w:r>
          </w:p>
        </w:tc>
        <w:tc>
          <w:tcPr>
            <w:tcW w:w="1505" w:type="dxa"/>
            <w:shd w:val="clear" w:color="auto" w:fill="8DB3E2" w:themeFill="text2" w:themeFillTint="66"/>
            <w:vAlign w:val="center"/>
            <w:hideMark/>
          </w:tcPr>
          <w:p w14:paraId="2E240832" w14:textId="77777777" w:rsidR="008A3C49" w:rsidRPr="008A3C49" w:rsidRDefault="008A3C49" w:rsidP="001538EF">
            <w:pPr>
              <w:jc w:val="right"/>
              <w:rPr>
                <w:rFonts w:asciiTheme="minorHAnsi" w:hAnsiTheme="minorHAnsi"/>
                <w:sz w:val="18"/>
                <w:szCs w:val="18"/>
                <w:lang w:val="sr-Latn-RS" w:eastAsia="sr-Latn-RS"/>
              </w:rPr>
            </w:pPr>
            <w:r w:rsidRPr="008A3C49">
              <w:rPr>
                <w:rFonts w:asciiTheme="minorHAnsi" w:hAnsiTheme="minorHAnsi"/>
                <w:b/>
                <w:bCs/>
                <w:sz w:val="18"/>
                <w:szCs w:val="18"/>
                <w:lang w:val="sr-Latn-RS" w:eastAsia="sr-Latn-RS"/>
              </w:rPr>
              <w:t>56.410.566,91</w:t>
            </w:r>
          </w:p>
        </w:tc>
        <w:tc>
          <w:tcPr>
            <w:tcW w:w="1337" w:type="dxa"/>
            <w:shd w:val="clear" w:color="auto" w:fill="8DB3E2" w:themeFill="text2" w:themeFillTint="66"/>
            <w:noWrap/>
            <w:vAlign w:val="center"/>
            <w:hideMark/>
          </w:tcPr>
          <w:p w14:paraId="375B42A0" w14:textId="77777777" w:rsidR="008A3C49" w:rsidRPr="008A3C49" w:rsidRDefault="008A3C49" w:rsidP="001538EF">
            <w:pPr>
              <w:jc w:val="center"/>
              <w:rPr>
                <w:rFonts w:asciiTheme="minorHAnsi" w:hAnsiTheme="minorHAnsi"/>
                <w:sz w:val="18"/>
                <w:szCs w:val="18"/>
                <w:lang w:val="sr-Latn-RS" w:eastAsia="sr-Latn-RS"/>
              </w:rPr>
            </w:pPr>
            <w:r w:rsidRPr="008A3C49">
              <w:rPr>
                <w:rFonts w:asciiTheme="minorHAnsi" w:hAnsiTheme="minorHAnsi"/>
                <w:b/>
                <w:bCs/>
                <w:sz w:val="18"/>
                <w:szCs w:val="18"/>
                <w:lang w:val="sr-Cyrl-RS" w:eastAsia="sr-Latn-RS"/>
              </w:rPr>
              <w:t>41,79</w:t>
            </w:r>
            <w:r w:rsidRPr="008A3C49">
              <w:rPr>
                <w:rFonts w:asciiTheme="minorHAnsi" w:hAnsiTheme="minorHAnsi"/>
                <w:b/>
                <w:bCs/>
                <w:sz w:val="18"/>
                <w:szCs w:val="18"/>
                <w:lang w:val="sr-Latn-RS" w:eastAsia="sr-Latn-RS"/>
              </w:rPr>
              <w:t>%</w:t>
            </w:r>
          </w:p>
        </w:tc>
      </w:tr>
    </w:tbl>
    <w:p w14:paraId="041A04D6"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75383AB7" w14:textId="77777777" w:rsidR="008A3C49" w:rsidRDefault="008A3C49"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val="sr-Cyrl-BA" w:eastAsia="sr-Latn-RS"/>
        </w:rPr>
        <w:t xml:space="preserve">На дан 31.12.2023. године, у оквиру кредитног портфеља уговореног са 4 финансијска посредника је пласирано 56.410.566,91 КМ кредитних средстава, односно 41,79% уговореног износа од 135.000.000,00 КМ. Ако посматрамо портфељ за обновљиве изворе енергије, кредитну активност је имала само  </w:t>
      </w:r>
      <w:r w:rsidRPr="008A3C49">
        <w:rPr>
          <w:rFonts w:asciiTheme="minorHAnsi" w:hAnsiTheme="minorHAnsi"/>
          <w:sz w:val="20"/>
          <w:szCs w:val="20"/>
          <w:lang w:val="sr-Cyrl-BA" w:eastAsia="sr-Latn-RS"/>
        </w:rPr>
        <w:t>Procredit bank д.д. Сарајево</w:t>
      </w:r>
      <w:r>
        <w:rPr>
          <w:rFonts w:asciiTheme="minorHAnsi" w:hAnsiTheme="minorHAnsi"/>
          <w:sz w:val="20"/>
          <w:szCs w:val="20"/>
          <w:lang w:val="sr-Cyrl-BA" w:eastAsia="sr-Latn-RS"/>
        </w:rPr>
        <w:t xml:space="preserve">, која је досад реализовала пласмане у износу од 3.175.555,02 КМ, односно 15,87% уговореног износа </w:t>
      </w:r>
      <w:r w:rsidR="00E037F4">
        <w:rPr>
          <w:rFonts w:asciiTheme="minorHAnsi" w:hAnsiTheme="minorHAnsi"/>
          <w:sz w:val="20"/>
          <w:szCs w:val="20"/>
          <w:lang w:val="sr-Cyrl-BA" w:eastAsia="sr-Latn-RS"/>
        </w:rPr>
        <w:t>портфолија</w:t>
      </w:r>
      <w:r>
        <w:rPr>
          <w:rFonts w:asciiTheme="minorHAnsi" w:hAnsiTheme="minorHAnsi"/>
          <w:sz w:val="20"/>
          <w:szCs w:val="20"/>
          <w:lang w:val="sr-Cyrl-BA" w:eastAsia="sr-Latn-RS"/>
        </w:rPr>
        <w:t>.</w:t>
      </w:r>
    </w:p>
    <w:p w14:paraId="0931686F" w14:textId="77777777" w:rsidR="00E037F4" w:rsidRDefault="00E037F4" w:rsidP="001538EF">
      <w:pPr>
        <w:autoSpaceDE w:val="0"/>
        <w:autoSpaceDN w:val="0"/>
        <w:adjustRightInd w:val="0"/>
        <w:rPr>
          <w:rFonts w:asciiTheme="minorHAnsi" w:hAnsiTheme="minorHAnsi"/>
          <w:sz w:val="20"/>
          <w:szCs w:val="20"/>
          <w:lang w:val="sr-Cyrl-BA" w:eastAsia="sr-Latn-RS"/>
        </w:rPr>
      </w:pPr>
    </w:p>
    <w:p w14:paraId="478017CE" w14:textId="77777777" w:rsidR="008A3C49" w:rsidRDefault="008A3C49"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val="sr-Cyrl-BA" w:eastAsia="sr-Latn-RS"/>
        </w:rPr>
        <w:t xml:space="preserve">Ако посматрамо кредитну активност у оквиру општег портфеља, доминантну улогу има </w:t>
      </w:r>
      <w:r w:rsidRPr="008A3C49">
        <w:rPr>
          <w:rFonts w:asciiTheme="minorHAnsi" w:hAnsiTheme="minorHAnsi"/>
          <w:sz w:val="20"/>
          <w:szCs w:val="20"/>
          <w:lang w:val="sr-Cyrl-BA" w:eastAsia="sr-Latn-RS"/>
        </w:rPr>
        <w:t xml:space="preserve">Procredit </w:t>
      </w:r>
      <w:r>
        <w:rPr>
          <w:rFonts w:asciiTheme="minorHAnsi" w:hAnsiTheme="minorHAnsi"/>
          <w:sz w:val="20"/>
          <w:szCs w:val="20"/>
          <w:lang w:val="sr-Cyrl-BA" w:eastAsia="sr-Latn-RS"/>
        </w:rPr>
        <w:t xml:space="preserve">банка, која је до краја 2023. године реализовала три четвртине уговореног износа (75,91%). Посматрајући </w:t>
      </w:r>
      <w:r w:rsidR="00E037F4">
        <w:rPr>
          <w:rFonts w:asciiTheme="minorHAnsi" w:hAnsiTheme="minorHAnsi"/>
          <w:sz w:val="20"/>
          <w:szCs w:val="20"/>
          <w:lang w:val="sr-Cyrl-BA" w:eastAsia="sr-Latn-RS"/>
        </w:rPr>
        <w:t>мјесечну динамику одобравања кредита од стране ове банке, реално је да ће врло брзо доћи по потпуне реализације уговореног износа.</w:t>
      </w:r>
    </w:p>
    <w:p w14:paraId="181E1D7E" w14:textId="77777777" w:rsidR="00E037F4" w:rsidRDefault="00E037F4"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val="sr-Cyrl-BA" w:eastAsia="sr-Latn-RS"/>
        </w:rPr>
        <w:t xml:space="preserve">Стопа реализације уговореног општег портфолија </w:t>
      </w:r>
      <w:r w:rsidRPr="00E037F4">
        <w:rPr>
          <w:rFonts w:asciiTheme="minorHAnsi" w:hAnsiTheme="minorHAnsi"/>
          <w:sz w:val="20"/>
          <w:szCs w:val="20"/>
          <w:lang w:val="sr-Cyrl-BA" w:eastAsia="sr-Latn-RS"/>
        </w:rPr>
        <w:t xml:space="preserve">Unicredit </w:t>
      </w:r>
      <w:r>
        <w:rPr>
          <w:rFonts w:asciiTheme="minorHAnsi" w:hAnsiTheme="minorHAnsi"/>
          <w:sz w:val="20"/>
          <w:szCs w:val="20"/>
          <w:lang w:val="sr-Cyrl-BA" w:eastAsia="sr-Latn-RS"/>
        </w:rPr>
        <w:t>банке је 38,04%, а ова банка је досад  пласирала 19.022.566,88 КМ кредита.Реализација МФ банке ја на нивоу од 34,10%, односно 3.850.000,00 КМ у номиналном износу.</w:t>
      </w:r>
    </w:p>
    <w:p w14:paraId="565E3494" w14:textId="77777777" w:rsidR="008A3C49" w:rsidRPr="005767EF" w:rsidRDefault="008A3C49" w:rsidP="001538EF">
      <w:pPr>
        <w:autoSpaceDE w:val="0"/>
        <w:autoSpaceDN w:val="0"/>
        <w:adjustRightInd w:val="0"/>
        <w:rPr>
          <w:rFonts w:asciiTheme="minorHAnsi" w:hAnsiTheme="minorHAnsi"/>
          <w:sz w:val="20"/>
          <w:szCs w:val="20"/>
          <w:lang w:val="sr-Cyrl-BA" w:eastAsia="sr-Latn-RS"/>
        </w:rPr>
      </w:pPr>
    </w:p>
    <w:p w14:paraId="7713E861" w14:textId="77777777" w:rsidR="001538EF" w:rsidRDefault="00E037F4" w:rsidP="001538EF">
      <w:pPr>
        <w:autoSpaceDE w:val="0"/>
        <w:autoSpaceDN w:val="0"/>
        <w:adjustRightInd w:val="0"/>
        <w:rPr>
          <w:rFonts w:asciiTheme="minorHAnsi" w:hAnsiTheme="minorHAnsi"/>
          <w:bCs/>
          <w:sz w:val="20"/>
          <w:szCs w:val="20"/>
          <w:lang w:val="sr-Cyrl-BA" w:eastAsia="sr-Latn-RS"/>
        </w:rPr>
      </w:pPr>
      <w:r w:rsidRPr="00E037F4">
        <w:rPr>
          <w:rFonts w:asciiTheme="minorHAnsi" w:hAnsiTheme="minorHAnsi"/>
          <w:bCs/>
          <w:sz w:val="20"/>
          <w:szCs w:val="20"/>
          <w:lang w:val="sr-Cyrl-BA" w:eastAsia="sr-Latn-RS"/>
        </w:rPr>
        <w:t>Како је раније наведено, уговор о гарантовању са Sparkasse bank д.д. БИХ је потписан крајем 2023. године и она до краја године није имала кредитну активност у оквиру уговореног портфолија кредита.</w:t>
      </w:r>
    </w:p>
    <w:p w14:paraId="51C6D08A" w14:textId="77777777" w:rsidR="00E037F4" w:rsidRDefault="00E037F4" w:rsidP="001538EF">
      <w:pPr>
        <w:autoSpaceDE w:val="0"/>
        <w:autoSpaceDN w:val="0"/>
        <w:adjustRightInd w:val="0"/>
        <w:rPr>
          <w:rFonts w:asciiTheme="minorHAnsi" w:hAnsiTheme="minorHAnsi"/>
          <w:bCs/>
          <w:sz w:val="20"/>
          <w:szCs w:val="20"/>
          <w:lang w:val="sr-Cyrl-BA" w:eastAsia="sr-Latn-RS"/>
        </w:rPr>
      </w:pPr>
    </w:p>
    <w:p w14:paraId="533B2F59" w14:textId="77777777" w:rsidR="004D360B" w:rsidRDefault="004D360B" w:rsidP="001538EF">
      <w:pPr>
        <w:autoSpaceDE w:val="0"/>
        <w:autoSpaceDN w:val="0"/>
        <w:adjustRightInd w:val="0"/>
        <w:rPr>
          <w:rFonts w:asciiTheme="minorHAnsi" w:hAnsiTheme="minorHAnsi"/>
          <w:bCs/>
          <w:sz w:val="20"/>
          <w:szCs w:val="20"/>
          <w:lang w:val="sr-Cyrl-BA" w:eastAsia="sr-Latn-RS"/>
        </w:rPr>
      </w:pPr>
    </w:p>
    <w:p w14:paraId="209454C8" w14:textId="77777777" w:rsidR="004D360B" w:rsidRDefault="004D360B" w:rsidP="001538EF">
      <w:pPr>
        <w:autoSpaceDE w:val="0"/>
        <w:autoSpaceDN w:val="0"/>
        <w:adjustRightInd w:val="0"/>
        <w:rPr>
          <w:rFonts w:asciiTheme="minorHAnsi" w:hAnsiTheme="minorHAnsi"/>
          <w:bCs/>
          <w:sz w:val="20"/>
          <w:szCs w:val="20"/>
          <w:lang w:val="sr-Cyrl-BA" w:eastAsia="sr-Latn-RS"/>
        </w:rPr>
      </w:pPr>
    </w:p>
    <w:p w14:paraId="75854243" w14:textId="77777777" w:rsidR="004D360B" w:rsidRPr="00E037F4" w:rsidRDefault="004D360B" w:rsidP="001538EF">
      <w:pPr>
        <w:autoSpaceDE w:val="0"/>
        <w:autoSpaceDN w:val="0"/>
        <w:adjustRightInd w:val="0"/>
        <w:rPr>
          <w:rFonts w:asciiTheme="minorHAnsi" w:hAnsiTheme="minorHAnsi"/>
          <w:bCs/>
          <w:sz w:val="20"/>
          <w:szCs w:val="20"/>
          <w:lang w:val="sr-Cyrl-BA" w:eastAsia="sr-Latn-RS"/>
        </w:rPr>
      </w:pPr>
    </w:p>
    <w:p w14:paraId="144BFABB" w14:textId="77777777" w:rsidR="001538EF" w:rsidRPr="00BC6981" w:rsidRDefault="001538EF" w:rsidP="008A3C49">
      <w:pPr>
        <w:spacing w:after="200" w:line="276" w:lineRule="auto"/>
        <w:jc w:val="center"/>
        <w:rPr>
          <w:rFonts w:asciiTheme="minorHAnsi" w:hAnsiTheme="minorHAnsi"/>
          <w:b/>
          <w:bCs/>
          <w:sz w:val="20"/>
          <w:szCs w:val="20"/>
          <w:lang w:val="sr-Latn-RS" w:eastAsia="sr-Latn-RS"/>
        </w:rPr>
      </w:pPr>
      <w:r w:rsidRPr="005767EF">
        <w:rPr>
          <w:rFonts w:asciiTheme="minorHAnsi" w:hAnsiTheme="minorHAnsi"/>
          <w:b/>
          <w:bCs/>
          <w:sz w:val="20"/>
          <w:szCs w:val="20"/>
          <w:lang w:val="sr-Latn-RS" w:eastAsia="sr-Latn-RS"/>
        </w:rPr>
        <w:t xml:space="preserve">Преглед </w:t>
      </w:r>
      <w:r w:rsidRPr="005767EF">
        <w:rPr>
          <w:rFonts w:asciiTheme="minorHAnsi" w:hAnsiTheme="minorHAnsi"/>
          <w:b/>
          <w:bCs/>
          <w:sz w:val="20"/>
          <w:szCs w:val="20"/>
          <w:lang w:val="sr-Cyrl-BA" w:eastAsia="sr-Latn-RS"/>
        </w:rPr>
        <w:t xml:space="preserve">стања уговореног кредитног портфеља и максималне изложености Гарантног фонда Републике Српске према финансијским посредницима </w:t>
      </w:r>
      <w:r w:rsidRPr="005767EF">
        <w:rPr>
          <w:rFonts w:asciiTheme="minorHAnsi" w:hAnsiTheme="minorHAnsi"/>
          <w:b/>
          <w:bCs/>
          <w:sz w:val="20"/>
          <w:szCs w:val="20"/>
          <w:lang w:val="sr-Latn-RS" w:eastAsia="sr-Latn-RS"/>
        </w:rPr>
        <w:t>на дан 31.12.202</w:t>
      </w:r>
      <w:r w:rsidR="002663DB">
        <w:rPr>
          <w:rFonts w:asciiTheme="minorHAnsi" w:hAnsiTheme="minorHAnsi"/>
          <w:b/>
          <w:bCs/>
          <w:sz w:val="20"/>
          <w:szCs w:val="20"/>
          <w:lang w:val="sr-Cyrl-RS" w:eastAsia="sr-Latn-RS"/>
        </w:rPr>
        <w:t>3</w:t>
      </w:r>
      <w:r w:rsidRPr="005767EF">
        <w:rPr>
          <w:rFonts w:asciiTheme="minorHAnsi" w:hAnsiTheme="minorHAnsi"/>
          <w:b/>
          <w:bCs/>
          <w:sz w:val="20"/>
          <w:szCs w:val="20"/>
          <w:lang w:val="sr-Latn-RS" w:eastAsia="sr-Latn-RS"/>
        </w:rPr>
        <w:t>.</w:t>
      </w:r>
      <w:r w:rsidR="002663DB">
        <w:rPr>
          <w:rFonts w:asciiTheme="minorHAnsi" w:hAnsiTheme="minorHAnsi"/>
          <w:b/>
          <w:bCs/>
          <w:sz w:val="20"/>
          <w:szCs w:val="20"/>
          <w:lang w:val="sr-Cyrl-RS" w:eastAsia="sr-Latn-RS"/>
        </w:rPr>
        <w:t xml:space="preserve"> године</w:t>
      </w:r>
    </w:p>
    <w:p w14:paraId="41DE8B1C" w14:textId="77777777" w:rsidR="001538EF" w:rsidRPr="005767EF" w:rsidRDefault="001538EF" w:rsidP="001538EF">
      <w:pPr>
        <w:autoSpaceDE w:val="0"/>
        <w:autoSpaceDN w:val="0"/>
        <w:adjustRightInd w:val="0"/>
        <w:rPr>
          <w:rFonts w:asciiTheme="minorHAnsi" w:hAnsiTheme="minorHAnsi"/>
          <w:b/>
          <w:bCs/>
          <w:sz w:val="20"/>
          <w:szCs w:val="20"/>
          <w:lang w:val="sr-Latn-RS" w:eastAsia="sr-Latn-RS"/>
        </w:rPr>
      </w:pPr>
    </w:p>
    <w:p w14:paraId="118B8D56" w14:textId="77777777" w:rsidR="001538EF" w:rsidRPr="005767EF" w:rsidRDefault="001538EF" w:rsidP="001538EF">
      <w:pPr>
        <w:autoSpaceDE w:val="0"/>
        <w:autoSpaceDN w:val="0"/>
        <w:adjustRightInd w:val="0"/>
        <w:rPr>
          <w:rFonts w:asciiTheme="minorHAnsi" w:eastAsiaTheme="minorHAnsi" w:hAnsiTheme="minorHAnsi"/>
          <w:color w:val="FF0000"/>
          <w:sz w:val="20"/>
          <w:szCs w:val="20"/>
          <w:lang w:val="sr-Cyrl-BA" w:eastAsia="en-US"/>
        </w:rPr>
      </w:pP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00A944C8">
        <w:rPr>
          <w:rFonts w:asciiTheme="minorHAnsi" w:hAnsiTheme="minorHAnsi"/>
          <w:b/>
          <w:bCs/>
          <w:sz w:val="20"/>
          <w:szCs w:val="20"/>
          <w:lang w:val="sr-Cyrl-BA" w:eastAsia="sr-Latn-RS"/>
        </w:rPr>
        <w:t>Табела 14</w:t>
      </w:r>
    </w:p>
    <w:tbl>
      <w:tblPr>
        <w:tblW w:w="8784" w:type="dxa"/>
        <w:tblInd w:w="113" w:type="dxa"/>
        <w:tblLook w:val="04A0" w:firstRow="1" w:lastRow="0" w:firstColumn="1" w:lastColumn="0" w:noHBand="0" w:noVBand="1"/>
      </w:tblPr>
      <w:tblGrid>
        <w:gridCol w:w="2060"/>
        <w:gridCol w:w="1707"/>
        <w:gridCol w:w="1517"/>
        <w:gridCol w:w="1517"/>
        <w:gridCol w:w="1983"/>
      </w:tblGrid>
      <w:tr w:rsidR="004E0037" w:rsidRPr="005767EF" w14:paraId="57C9C007" w14:textId="77777777" w:rsidTr="004E0037">
        <w:trPr>
          <w:trHeight w:val="1080"/>
        </w:trPr>
        <w:tc>
          <w:tcPr>
            <w:tcW w:w="22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1B9DFC1" w14:textId="77777777" w:rsidR="004E0037" w:rsidRPr="0070006A" w:rsidRDefault="004E0037" w:rsidP="001538EF">
            <w:pPr>
              <w:jc w:val="center"/>
              <w:rPr>
                <w:rFonts w:asciiTheme="minorHAnsi" w:hAnsiTheme="minorHAnsi"/>
                <w:b/>
                <w:sz w:val="18"/>
                <w:szCs w:val="18"/>
                <w:lang w:val="sr-Latn-RS" w:eastAsia="sr-Latn-RS"/>
              </w:rPr>
            </w:pPr>
            <w:r w:rsidRPr="0070006A">
              <w:rPr>
                <w:rFonts w:asciiTheme="minorHAnsi" w:hAnsiTheme="minorHAnsi"/>
                <w:b/>
                <w:sz w:val="18"/>
                <w:szCs w:val="18"/>
                <w:lang w:val="sr-Latn-RS" w:eastAsia="sr-Latn-RS"/>
              </w:rPr>
              <w:t>Финансијски пос</w:t>
            </w:r>
            <w:r w:rsidRPr="0070006A">
              <w:rPr>
                <w:rFonts w:asciiTheme="minorHAnsi" w:hAnsiTheme="minorHAnsi"/>
                <w:b/>
                <w:sz w:val="18"/>
                <w:szCs w:val="18"/>
                <w:lang w:val="sr-Cyrl-BA" w:eastAsia="sr-Latn-RS"/>
              </w:rPr>
              <w:t>р</w:t>
            </w:r>
            <w:r w:rsidRPr="0070006A">
              <w:rPr>
                <w:rFonts w:asciiTheme="minorHAnsi" w:hAnsiTheme="minorHAnsi"/>
                <w:b/>
                <w:sz w:val="18"/>
                <w:szCs w:val="18"/>
                <w:lang w:val="sr-Latn-RS" w:eastAsia="sr-Latn-RS"/>
              </w:rPr>
              <w:t>едник</w:t>
            </w:r>
          </w:p>
        </w:tc>
        <w:tc>
          <w:tcPr>
            <w:tcW w:w="1253" w:type="dxa"/>
            <w:tcBorders>
              <w:top w:val="single" w:sz="4" w:space="0" w:color="auto"/>
              <w:left w:val="nil"/>
              <w:bottom w:val="single" w:sz="4" w:space="0" w:color="auto"/>
              <w:right w:val="single" w:sz="4" w:space="0" w:color="auto"/>
            </w:tcBorders>
            <w:shd w:val="clear" w:color="auto" w:fill="8DB3E2" w:themeFill="text2" w:themeFillTint="66"/>
          </w:tcPr>
          <w:p w14:paraId="42C9BBD7" w14:textId="77777777" w:rsidR="004E0037" w:rsidRDefault="004E0037" w:rsidP="004D360B">
            <w:pPr>
              <w:jc w:val="center"/>
              <w:rPr>
                <w:rFonts w:asciiTheme="minorHAnsi" w:hAnsiTheme="minorHAnsi"/>
                <w:b/>
                <w:sz w:val="18"/>
                <w:szCs w:val="18"/>
                <w:lang w:val="sr-Cyrl-RS" w:eastAsia="sr-Latn-RS"/>
              </w:rPr>
            </w:pPr>
          </w:p>
          <w:p w14:paraId="503800F2" w14:textId="77777777" w:rsidR="004E0037" w:rsidRDefault="004E0037" w:rsidP="004D360B">
            <w:pPr>
              <w:jc w:val="center"/>
              <w:rPr>
                <w:rFonts w:asciiTheme="minorHAnsi" w:hAnsiTheme="minorHAnsi"/>
                <w:b/>
                <w:sz w:val="18"/>
                <w:szCs w:val="18"/>
                <w:lang w:val="sr-Cyrl-RS" w:eastAsia="sr-Latn-RS"/>
              </w:rPr>
            </w:pPr>
          </w:p>
          <w:p w14:paraId="0F891597" w14:textId="77777777" w:rsidR="004E0037" w:rsidRDefault="004E0037" w:rsidP="004D360B">
            <w:pPr>
              <w:jc w:val="center"/>
              <w:rPr>
                <w:rFonts w:asciiTheme="minorHAnsi" w:hAnsiTheme="minorHAnsi"/>
                <w:b/>
                <w:sz w:val="18"/>
                <w:szCs w:val="18"/>
                <w:lang w:val="sr-Cyrl-RS" w:eastAsia="sr-Latn-RS"/>
              </w:rPr>
            </w:pPr>
          </w:p>
          <w:p w14:paraId="190DF4E2" w14:textId="77777777" w:rsidR="004E0037" w:rsidRPr="004E0037" w:rsidRDefault="004E0037" w:rsidP="004D360B">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Број активних кредита/гаранција</w:t>
            </w:r>
          </w:p>
        </w:tc>
        <w:tc>
          <w:tcPr>
            <w:tcW w:w="157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785054" w14:textId="77777777" w:rsidR="004E0037" w:rsidRPr="0070006A" w:rsidRDefault="004E0037" w:rsidP="004D360B">
            <w:pPr>
              <w:jc w:val="center"/>
              <w:rPr>
                <w:rFonts w:asciiTheme="minorHAnsi" w:hAnsiTheme="minorHAnsi"/>
                <w:b/>
                <w:sz w:val="18"/>
                <w:szCs w:val="18"/>
                <w:lang w:val="sr-Cyrl-RS" w:eastAsia="sr-Latn-RS"/>
              </w:rPr>
            </w:pPr>
            <w:r w:rsidRPr="0070006A">
              <w:rPr>
                <w:rFonts w:asciiTheme="minorHAnsi" w:hAnsiTheme="minorHAnsi"/>
                <w:b/>
                <w:sz w:val="18"/>
                <w:szCs w:val="18"/>
                <w:lang w:val="sr-Latn-RS" w:eastAsia="sr-Latn-RS"/>
              </w:rPr>
              <w:t xml:space="preserve">Стање </w:t>
            </w:r>
            <w:r w:rsidRPr="0070006A">
              <w:rPr>
                <w:rFonts w:asciiTheme="minorHAnsi" w:hAnsiTheme="minorHAnsi"/>
                <w:b/>
                <w:sz w:val="18"/>
                <w:szCs w:val="18"/>
                <w:lang w:val="sr-Cyrl-BA" w:eastAsia="sr-Latn-RS"/>
              </w:rPr>
              <w:t>кредита</w:t>
            </w:r>
            <w:r w:rsidRPr="0070006A">
              <w:rPr>
                <w:rFonts w:asciiTheme="minorHAnsi" w:hAnsiTheme="minorHAnsi"/>
                <w:b/>
                <w:sz w:val="18"/>
                <w:szCs w:val="18"/>
                <w:lang w:val="sr-Latn-RS" w:eastAsia="sr-Latn-RS"/>
              </w:rPr>
              <w:t xml:space="preserve"> на дан 31</w:t>
            </w:r>
            <w:r w:rsidRPr="0070006A">
              <w:rPr>
                <w:rFonts w:asciiTheme="minorHAnsi" w:hAnsiTheme="minorHAnsi"/>
                <w:b/>
                <w:sz w:val="18"/>
                <w:szCs w:val="18"/>
                <w:lang w:val="sr-Cyrl-RS" w:eastAsia="sr-Latn-RS"/>
              </w:rPr>
              <w:t>.</w:t>
            </w:r>
            <w:r w:rsidRPr="0070006A">
              <w:rPr>
                <w:rFonts w:asciiTheme="minorHAnsi" w:hAnsiTheme="minorHAnsi"/>
                <w:b/>
                <w:sz w:val="18"/>
                <w:szCs w:val="18"/>
                <w:lang w:val="sr-Latn-RS" w:eastAsia="sr-Latn-RS"/>
              </w:rPr>
              <w:t>12</w:t>
            </w:r>
            <w:r w:rsidRPr="0070006A">
              <w:rPr>
                <w:rFonts w:asciiTheme="minorHAnsi" w:hAnsiTheme="minorHAnsi"/>
                <w:b/>
                <w:sz w:val="18"/>
                <w:szCs w:val="18"/>
                <w:lang w:val="sr-Cyrl-RS" w:eastAsia="sr-Latn-RS"/>
              </w:rPr>
              <w:t>.20</w:t>
            </w:r>
            <w:r w:rsidRPr="0070006A">
              <w:rPr>
                <w:rFonts w:asciiTheme="minorHAnsi" w:hAnsiTheme="minorHAnsi"/>
                <w:b/>
                <w:sz w:val="18"/>
                <w:szCs w:val="18"/>
                <w:lang w:val="sr-Latn-RS" w:eastAsia="sr-Latn-RS"/>
              </w:rPr>
              <w:t>2</w:t>
            </w:r>
            <w:r w:rsidRPr="0070006A">
              <w:rPr>
                <w:rFonts w:asciiTheme="minorHAnsi" w:hAnsiTheme="minorHAnsi"/>
                <w:b/>
                <w:sz w:val="18"/>
                <w:szCs w:val="18"/>
                <w:lang w:val="sr-Cyrl-RS" w:eastAsia="sr-Latn-RS"/>
              </w:rPr>
              <w:t>3. године</w:t>
            </w:r>
          </w:p>
        </w:tc>
        <w:tc>
          <w:tcPr>
            <w:tcW w:w="157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DAE7244" w14:textId="77777777" w:rsidR="004E0037" w:rsidRPr="0070006A" w:rsidRDefault="004E0037" w:rsidP="001538EF">
            <w:pPr>
              <w:jc w:val="center"/>
              <w:rPr>
                <w:rFonts w:asciiTheme="minorHAnsi" w:hAnsiTheme="minorHAnsi"/>
                <w:b/>
                <w:sz w:val="18"/>
                <w:szCs w:val="18"/>
                <w:lang w:val="sr-Cyrl-RS" w:eastAsia="sr-Latn-RS"/>
              </w:rPr>
            </w:pPr>
            <w:r>
              <w:rPr>
                <w:rFonts w:asciiTheme="minorHAnsi" w:hAnsiTheme="minorHAnsi"/>
                <w:b/>
                <w:sz w:val="18"/>
                <w:szCs w:val="18"/>
                <w:lang w:val="sr-Latn-RS" w:eastAsia="sr-Latn-RS"/>
              </w:rPr>
              <w:t>Стање гаранциј</w:t>
            </w:r>
            <w:r>
              <w:rPr>
                <w:rFonts w:asciiTheme="minorHAnsi" w:hAnsiTheme="minorHAnsi"/>
                <w:b/>
                <w:sz w:val="18"/>
                <w:szCs w:val="18"/>
                <w:lang w:val="sr-Cyrl-RS" w:eastAsia="sr-Latn-RS"/>
              </w:rPr>
              <w:t>а</w:t>
            </w:r>
            <w:r w:rsidRPr="0070006A">
              <w:rPr>
                <w:rFonts w:asciiTheme="minorHAnsi" w:hAnsiTheme="minorHAnsi"/>
                <w:b/>
                <w:sz w:val="18"/>
                <w:szCs w:val="18"/>
                <w:lang w:val="sr-Latn-RS" w:eastAsia="sr-Latn-RS"/>
              </w:rPr>
              <w:t xml:space="preserve"> на дан 31</w:t>
            </w:r>
            <w:r w:rsidRPr="0070006A">
              <w:rPr>
                <w:rFonts w:asciiTheme="minorHAnsi" w:hAnsiTheme="minorHAnsi"/>
                <w:b/>
                <w:sz w:val="18"/>
                <w:szCs w:val="18"/>
                <w:lang w:val="sr-Cyrl-RS" w:eastAsia="sr-Latn-RS"/>
              </w:rPr>
              <w:t>.</w:t>
            </w:r>
            <w:r w:rsidRPr="0070006A">
              <w:rPr>
                <w:rFonts w:asciiTheme="minorHAnsi" w:hAnsiTheme="minorHAnsi"/>
                <w:b/>
                <w:sz w:val="18"/>
                <w:szCs w:val="18"/>
                <w:lang w:val="sr-Latn-RS" w:eastAsia="sr-Latn-RS"/>
              </w:rPr>
              <w:t>12</w:t>
            </w:r>
            <w:r w:rsidRPr="0070006A">
              <w:rPr>
                <w:rFonts w:asciiTheme="minorHAnsi" w:hAnsiTheme="minorHAnsi"/>
                <w:b/>
                <w:sz w:val="18"/>
                <w:szCs w:val="18"/>
                <w:lang w:val="sr-Cyrl-RS" w:eastAsia="sr-Latn-RS"/>
              </w:rPr>
              <w:t>.20</w:t>
            </w:r>
            <w:r w:rsidRPr="0070006A">
              <w:rPr>
                <w:rFonts w:asciiTheme="minorHAnsi" w:hAnsiTheme="minorHAnsi"/>
                <w:b/>
                <w:sz w:val="18"/>
                <w:szCs w:val="18"/>
                <w:lang w:val="sr-Latn-RS" w:eastAsia="sr-Latn-RS"/>
              </w:rPr>
              <w:t>2</w:t>
            </w:r>
            <w:r w:rsidRPr="0070006A">
              <w:rPr>
                <w:rFonts w:asciiTheme="minorHAnsi" w:hAnsiTheme="minorHAnsi"/>
                <w:b/>
                <w:sz w:val="18"/>
                <w:szCs w:val="18"/>
                <w:lang w:val="sr-Cyrl-RS" w:eastAsia="sr-Latn-RS"/>
              </w:rPr>
              <w:t>3. године</w:t>
            </w:r>
          </w:p>
        </w:tc>
        <w:tc>
          <w:tcPr>
            <w:tcW w:w="214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58628D0B" w14:textId="77777777" w:rsidR="004E0037" w:rsidRPr="0070006A" w:rsidRDefault="004E0037" w:rsidP="004D360B">
            <w:pPr>
              <w:jc w:val="center"/>
              <w:rPr>
                <w:rFonts w:asciiTheme="minorHAnsi" w:hAnsiTheme="minorHAnsi"/>
                <w:b/>
                <w:sz w:val="18"/>
                <w:szCs w:val="18"/>
                <w:lang w:val="sr-Cyrl-RS" w:eastAsia="sr-Latn-RS"/>
              </w:rPr>
            </w:pPr>
            <w:r w:rsidRPr="0070006A">
              <w:rPr>
                <w:rFonts w:asciiTheme="minorHAnsi" w:hAnsiTheme="minorHAnsi"/>
                <w:b/>
                <w:sz w:val="18"/>
                <w:szCs w:val="18"/>
                <w:lang w:val="sr-Latn-RS" w:eastAsia="sr-Latn-RS"/>
              </w:rPr>
              <w:t>Максимални дозвољени износ гаранције (уз макс</w:t>
            </w:r>
            <w:r w:rsidRPr="0070006A">
              <w:rPr>
                <w:rFonts w:asciiTheme="minorHAnsi" w:hAnsiTheme="minorHAnsi"/>
                <w:b/>
                <w:sz w:val="18"/>
                <w:szCs w:val="18"/>
                <w:lang w:val="sr-Cyrl-BA" w:eastAsia="sr-Latn-RS"/>
              </w:rPr>
              <w:t xml:space="preserve">ималну </w:t>
            </w:r>
            <w:r w:rsidRPr="0070006A">
              <w:rPr>
                <w:rFonts w:asciiTheme="minorHAnsi" w:hAnsiTheme="minorHAnsi"/>
                <w:b/>
                <w:sz w:val="18"/>
                <w:szCs w:val="18"/>
                <w:lang w:val="sr-Latn-RS" w:eastAsia="sr-Latn-RS"/>
              </w:rPr>
              <w:t xml:space="preserve"> стопу покрића</w:t>
            </w:r>
            <w:r w:rsidRPr="0070006A">
              <w:rPr>
                <w:rFonts w:asciiTheme="minorHAnsi" w:hAnsiTheme="minorHAnsi"/>
                <w:b/>
                <w:sz w:val="18"/>
                <w:szCs w:val="18"/>
                <w:lang w:val="sr-Cyrl-BA" w:eastAsia="sr-Latn-RS"/>
              </w:rPr>
              <w:t xml:space="preserve"> од </w:t>
            </w:r>
            <w:r w:rsidRPr="0070006A">
              <w:rPr>
                <w:rFonts w:asciiTheme="minorHAnsi" w:hAnsiTheme="minorHAnsi"/>
                <w:b/>
                <w:sz w:val="18"/>
                <w:szCs w:val="18"/>
                <w:lang w:val="sr-Latn-RS" w:eastAsia="sr-Latn-RS"/>
              </w:rPr>
              <w:t xml:space="preserve"> 25%</w:t>
            </w:r>
            <w:r w:rsidRPr="0070006A">
              <w:rPr>
                <w:rFonts w:asciiTheme="minorHAnsi" w:hAnsiTheme="minorHAnsi"/>
                <w:b/>
                <w:sz w:val="18"/>
                <w:szCs w:val="18"/>
                <w:lang w:val="sr-Cyrl-BA" w:eastAsia="sr-Latn-RS"/>
              </w:rPr>
              <w:t xml:space="preserve"> на стање кредита</w:t>
            </w:r>
            <w:r w:rsidRPr="0070006A">
              <w:rPr>
                <w:rFonts w:asciiTheme="minorHAnsi" w:hAnsiTheme="minorHAnsi"/>
                <w:b/>
                <w:sz w:val="18"/>
                <w:szCs w:val="18"/>
                <w:lang w:val="sr-Latn-RS" w:eastAsia="sr-Latn-RS"/>
              </w:rPr>
              <w:t xml:space="preserve">) на дан </w:t>
            </w:r>
            <w:r w:rsidRPr="0070006A">
              <w:rPr>
                <w:rFonts w:asciiTheme="minorHAnsi" w:hAnsiTheme="minorHAnsi"/>
                <w:b/>
                <w:sz w:val="18"/>
                <w:szCs w:val="18"/>
                <w:lang w:val="sr-Cyrl-RS" w:eastAsia="sr-Latn-RS"/>
              </w:rPr>
              <w:t>31.12.2023.</w:t>
            </w:r>
          </w:p>
        </w:tc>
      </w:tr>
      <w:tr w:rsidR="004E0037" w:rsidRPr="005767EF" w14:paraId="5EF6542C"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71D8AEFF" w14:textId="77777777" w:rsidR="004E0037" w:rsidRPr="0070006A" w:rsidRDefault="004E0037" w:rsidP="001538EF">
            <w:pPr>
              <w:jc w:val="left"/>
              <w:rPr>
                <w:rFonts w:asciiTheme="minorHAnsi" w:hAnsiTheme="minorHAnsi"/>
                <w:caps/>
                <w:sz w:val="18"/>
                <w:szCs w:val="18"/>
                <w:lang w:val="sr-Latn-RS" w:eastAsia="sr-Latn-RS"/>
              </w:rPr>
            </w:pPr>
            <w:r w:rsidRPr="0070006A">
              <w:rPr>
                <w:rFonts w:asciiTheme="minorHAnsi" w:hAnsiTheme="minorHAnsi"/>
                <w:sz w:val="18"/>
                <w:szCs w:val="18"/>
                <w:lang w:val="sr-Latn-RS" w:eastAsia="sr-Latn-RS"/>
              </w:rPr>
              <w:t>Procredit bank д.д. Сарајево</w:t>
            </w:r>
          </w:p>
        </w:tc>
        <w:tc>
          <w:tcPr>
            <w:tcW w:w="1253" w:type="dxa"/>
            <w:tcBorders>
              <w:top w:val="single" w:sz="4" w:space="0" w:color="auto"/>
              <w:left w:val="nil"/>
              <w:bottom w:val="single" w:sz="4" w:space="0" w:color="auto"/>
              <w:right w:val="single" w:sz="4" w:space="0" w:color="auto"/>
            </w:tcBorders>
            <w:vAlign w:val="center"/>
          </w:tcPr>
          <w:p w14:paraId="20BE6067"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val="sr-Cyrl-RS" w:eastAsia="sr-Latn-RS"/>
              </w:rPr>
              <w:t>120</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51B52"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26.417.597,89</w:t>
            </w:r>
          </w:p>
        </w:tc>
        <w:tc>
          <w:tcPr>
            <w:tcW w:w="1571" w:type="dxa"/>
            <w:tcBorders>
              <w:top w:val="nil"/>
              <w:left w:val="nil"/>
              <w:bottom w:val="single" w:sz="4" w:space="0" w:color="auto"/>
              <w:right w:val="single" w:sz="4" w:space="0" w:color="auto"/>
            </w:tcBorders>
            <w:shd w:val="clear" w:color="auto" w:fill="auto"/>
            <w:vAlign w:val="center"/>
            <w:hideMark/>
          </w:tcPr>
          <w:p w14:paraId="0775F2B5"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13.208.798,94</w:t>
            </w:r>
          </w:p>
        </w:tc>
        <w:tc>
          <w:tcPr>
            <w:tcW w:w="2146" w:type="dxa"/>
            <w:tcBorders>
              <w:top w:val="nil"/>
              <w:left w:val="nil"/>
              <w:bottom w:val="single" w:sz="4" w:space="0" w:color="auto"/>
              <w:right w:val="single" w:sz="4" w:space="0" w:color="auto"/>
            </w:tcBorders>
            <w:shd w:val="clear" w:color="auto" w:fill="auto"/>
            <w:vAlign w:val="center"/>
            <w:hideMark/>
          </w:tcPr>
          <w:p w14:paraId="52ECBC08"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6.604.399,47</w:t>
            </w:r>
          </w:p>
        </w:tc>
      </w:tr>
      <w:tr w:rsidR="004E0037" w:rsidRPr="005767EF" w14:paraId="038F633E"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2B0810F3" w14:textId="77777777" w:rsidR="004E0037" w:rsidRPr="0070006A" w:rsidRDefault="004E0037" w:rsidP="001538EF">
            <w:pPr>
              <w:jc w:val="left"/>
              <w:rPr>
                <w:rFonts w:asciiTheme="minorHAnsi" w:hAnsiTheme="minorHAnsi"/>
                <w:caps/>
                <w:sz w:val="18"/>
                <w:szCs w:val="18"/>
                <w:lang w:val="sr-Latn-RS" w:eastAsia="sr-Latn-RS"/>
              </w:rPr>
            </w:pPr>
            <w:r w:rsidRPr="0070006A">
              <w:rPr>
                <w:rFonts w:asciiTheme="minorHAnsi" w:hAnsiTheme="minorHAnsi"/>
                <w:sz w:val="18"/>
                <w:szCs w:val="18"/>
                <w:lang w:val="sr-Latn-RS" w:eastAsia="sr-Latn-RS"/>
              </w:rPr>
              <w:t xml:space="preserve">Unicredit bank а.д. Бања </w:t>
            </w:r>
            <w:r w:rsidRPr="0070006A">
              <w:rPr>
                <w:rFonts w:asciiTheme="minorHAnsi" w:hAnsiTheme="minorHAnsi"/>
                <w:sz w:val="18"/>
                <w:szCs w:val="18"/>
                <w:lang w:val="sr-Cyrl-RS" w:eastAsia="sr-Latn-RS"/>
              </w:rPr>
              <w:t>Л</w:t>
            </w:r>
            <w:r w:rsidRPr="0070006A">
              <w:rPr>
                <w:rFonts w:asciiTheme="minorHAnsi" w:hAnsiTheme="minorHAnsi"/>
                <w:sz w:val="18"/>
                <w:szCs w:val="18"/>
                <w:lang w:val="sr-Latn-RS" w:eastAsia="sr-Latn-RS"/>
              </w:rPr>
              <w:t>ука</w:t>
            </w:r>
          </w:p>
        </w:tc>
        <w:tc>
          <w:tcPr>
            <w:tcW w:w="1253" w:type="dxa"/>
            <w:tcBorders>
              <w:top w:val="single" w:sz="4" w:space="0" w:color="auto"/>
              <w:left w:val="nil"/>
              <w:bottom w:val="single" w:sz="4" w:space="0" w:color="auto"/>
              <w:right w:val="single" w:sz="4" w:space="0" w:color="auto"/>
            </w:tcBorders>
            <w:vAlign w:val="center"/>
          </w:tcPr>
          <w:p w14:paraId="6F7F0281"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val="sr-Cyrl-RS" w:eastAsia="sr-Latn-RS"/>
              </w:rPr>
              <w:t>59</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012F5"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6.570.559,68</w:t>
            </w:r>
          </w:p>
        </w:tc>
        <w:tc>
          <w:tcPr>
            <w:tcW w:w="1571" w:type="dxa"/>
            <w:tcBorders>
              <w:top w:val="nil"/>
              <w:left w:val="nil"/>
              <w:bottom w:val="single" w:sz="4" w:space="0" w:color="auto"/>
              <w:right w:val="single" w:sz="4" w:space="0" w:color="auto"/>
            </w:tcBorders>
            <w:shd w:val="clear" w:color="auto" w:fill="auto"/>
            <w:vAlign w:val="center"/>
            <w:hideMark/>
          </w:tcPr>
          <w:p w14:paraId="10344A33"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3.285.279,84</w:t>
            </w:r>
          </w:p>
        </w:tc>
        <w:tc>
          <w:tcPr>
            <w:tcW w:w="2146" w:type="dxa"/>
            <w:tcBorders>
              <w:top w:val="nil"/>
              <w:left w:val="nil"/>
              <w:bottom w:val="single" w:sz="4" w:space="0" w:color="auto"/>
              <w:right w:val="single" w:sz="4" w:space="0" w:color="auto"/>
            </w:tcBorders>
            <w:shd w:val="clear" w:color="auto" w:fill="auto"/>
            <w:vAlign w:val="center"/>
            <w:hideMark/>
          </w:tcPr>
          <w:p w14:paraId="410F507B"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1.642.639,92</w:t>
            </w:r>
          </w:p>
        </w:tc>
      </w:tr>
      <w:tr w:rsidR="004E0037" w:rsidRPr="005767EF" w14:paraId="02FAA32A"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2EDEEBDC" w14:textId="77777777" w:rsidR="004E0037" w:rsidRPr="0070006A" w:rsidRDefault="004E0037" w:rsidP="001538EF">
            <w:pPr>
              <w:jc w:val="left"/>
              <w:rPr>
                <w:rFonts w:asciiTheme="minorHAnsi" w:hAnsiTheme="minorHAnsi"/>
                <w:caps/>
                <w:sz w:val="18"/>
                <w:szCs w:val="18"/>
                <w:lang w:val="sr-Latn-RS" w:eastAsia="sr-Latn-RS"/>
              </w:rPr>
            </w:pPr>
            <w:r>
              <w:rPr>
                <w:rFonts w:asciiTheme="minorHAnsi" w:hAnsiTheme="minorHAnsi"/>
                <w:sz w:val="18"/>
                <w:szCs w:val="18"/>
                <w:lang w:val="sr-Latn-RS" w:eastAsia="sr-Latn-RS"/>
              </w:rPr>
              <w:t>М</w:t>
            </w:r>
            <w:r>
              <w:rPr>
                <w:rFonts w:asciiTheme="minorHAnsi" w:hAnsiTheme="minorHAnsi"/>
                <w:sz w:val="18"/>
                <w:szCs w:val="18"/>
                <w:lang w:val="sr-Cyrl-RS" w:eastAsia="sr-Latn-RS"/>
              </w:rPr>
              <w:t>Ф</w:t>
            </w:r>
            <w:r w:rsidRPr="0070006A">
              <w:rPr>
                <w:rFonts w:asciiTheme="minorHAnsi" w:hAnsiTheme="minorHAnsi"/>
                <w:sz w:val="18"/>
                <w:szCs w:val="18"/>
                <w:lang w:val="sr-Latn-RS" w:eastAsia="sr-Latn-RS"/>
              </w:rPr>
              <w:t xml:space="preserve"> банка а.д. Бања </w:t>
            </w:r>
            <w:r w:rsidRPr="0070006A">
              <w:rPr>
                <w:rFonts w:asciiTheme="minorHAnsi" w:hAnsiTheme="minorHAnsi"/>
                <w:sz w:val="18"/>
                <w:szCs w:val="18"/>
                <w:lang w:val="sr-Cyrl-RS" w:eastAsia="sr-Latn-RS"/>
              </w:rPr>
              <w:t>Л</w:t>
            </w:r>
            <w:r w:rsidRPr="0070006A">
              <w:rPr>
                <w:rFonts w:asciiTheme="minorHAnsi" w:hAnsiTheme="minorHAnsi"/>
                <w:sz w:val="18"/>
                <w:szCs w:val="18"/>
                <w:lang w:val="sr-Latn-RS" w:eastAsia="sr-Latn-RS"/>
              </w:rPr>
              <w:t>ука</w:t>
            </w:r>
          </w:p>
        </w:tc>
        <w:tc>
          <w:tcPr>
            <w:tcW w:w="1253" w:type="dxa"/>
            <w:tcBorders>
              <w:top w:val="single" w:sz="4" w:space="0" w:color="auto"/>
              <w:left w:val="nil"/>
              <w:bottom w:val="single" w:sz="4" w:space="0" w:color="auto"/>
              <w:right w:val="single" w:sz="4" w:space="0" w:color="auto"/>
            </w:tcBorders>
            <w:vAlign w:val="center"/>
          </w:tcPr>
          <w:p w14:paraId="390B2273"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val="sr-Cyrl-RS" w:eastAsia="sr-Latn-RS"/>
              </w:rPr>
              <w:t>25</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57336"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2.375.310,98</w:t>
            </w:r>
          </w:p>
        </w:tc>
        <w:tc>
          <w:tcPr>
            <w:tcW w:w="1571" w:type="dxa"/>
            <w:tcBorders>
              <w:top w:val="nil"/>
              <w:left w:val="nil"/>
              <w:bottom w:val="single" w:sz="4" w:space="0" w:color="auto"/>
              <w:right w:val="single" w:sz="4" w:space="0" w:color="auto"/>
            </w:tcBorders>
            <w:shd w:val="clear" w:color="auto" w:fill="auto"/>
            <w:vAlign w:val="center"/>
            <w:hideMark/>
          </w:tcPr>
          <w:p w14:paraId="4C91CBDD"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val="sr-Cyrl-RS" w:eastAsia="sr-Latn-RS"/>
              </w:rPr>
              <w:t>1.187.642,81</w:t>
            </w:r>
          </w:p>
        </w:tc>
        <w:tc>
          <w:tcPr>
            <w:tcW w:w="2146" w:type="dxa"/>
            <w:tcBorders>
              <w:top w:val="nil"/>
              <w:left w:val="nil"/>
              <w:bottom w:val="single" w:sz="4" w:space="0" w:color="auto"/>
              <w:right w:val="single" w:sz="4" w:space="0" w:color="auto"/>
            </w:tcBorders>
            <w:shd w:val="clear" w:color="auto" w:fill="auto"/>
            <w:vAlign w:val="center"/>
            <w:hideMark/>
          </w:tcPr>
          <w:p w14:paraId="1046B0D5"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593.827,75</w:t>
            </w:r>
          </w:p>
        </w:tc>
      </w:tr>
      <w:tr w:rsidR="004E0037" w:rsidRPr="005767EF" w14:paraId="059F83BE" w14:textId="77777777" w:rsidTr="004E0037">
        <w:trPr>
          <w:trHeight w:val="249"/>
        </w:trPr>
        <w:tc>
          <w:tcPr>
            <w:tcW w:w="22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6452362E" w14:textId="77777777" w:rsidR="004E0037" w:rsidRPr="00B769DD" w:rsidRDefault="004E0037" w:rsidP="001538EF">
            <w:pPr>
              <w:jc w:val="left"/>
              <w:rPr>
                <w:rFonts w:asciiTheme="minorHAnsi" w:hAnsiTheme="minorHAnsi"/>
                <w:b/>
                <w:bCs/>
                <w:color w:val="auto"/>
                <w:sz w:val="18"/>
                <w:szCs w:val="18"/>
                <w:lang w:val="sr-Cyrl-RS" w:eastAsia="sr-Latn-RS"/>
              </w:rPr>
            </w:pPr>
            <w:r w:rsidRPr="00B769DD">
              <w:rPr>
                <w:rFonts w:asciiTheme="minorHAnsi" w:hAnsiTheme="minorHAnsi"/>
                <w:b/>
                <w:bCs/>
                <w:color w:val="auto"/>
                <w:sz w:val="18"/>
                <w:szCs w:val="18"/>
                <w:lang w:val="sr-Cyrl-RS" w:eastAsia="sr-Latn-RS"/>
              </w:rPr>
              <w:t>УКУПНО</w:t>
            </w:r>
          </w:p>
        </w:tc>
        <w:tc>
          <w:tcPr>
            <w:tcW w:w="1253" w:type="dxa"/>
            <w:tcBorders>
              <w:top w:val="single" w:sz="4" w:space="0" w:color="auto"/>
              <w:left w:val="nil"/>
              <w:bottom w:val="single" w:sz="4" w:space="0" w:color="auto"/>
              <w:right w:val="single" w:sz="4" w:space="0" w:color="auto"/>
            </w:tcBorders>
            <w:shd w:val="clear" w:color="auto" w:fill="8DB3E2" w:themeFill="text2" w:themeFillTint="66"/>
          </w:tcPr>
          <w:p w14:paraId="40F57E32" w14:textId="77777777" w:rsidR="004E0037" w:rsidRPr="004E0037" w:rsidRDefault="004E0037" w:rsidP="004E0037">
            <w:pPr>
              <w:jc w:val="center"/>
              <w:rPr>
                <w:rFonts w:asciiTheme="minorHAnsi" w:hAnsiTheme="minorHAnsi"/>
                <w:b/>
                <w:sz w:val="18"/>
                <w:szCs w:val="18"/>
                <w:lang w:val="sr-Cyrl-RS"/>
              </w:rPr>
            </w:pPr>
            <w:r>
              <w:rPr>
                <w:rFonts w:asciiTheme="minorHAnsi" w:hAnsiTheme="minorHAnsi"/>
                <w:b/>
                <w:sz w:val="18"/>
                <w:szCs w:val="18"/>
                <w:lang w:val="sr-Cyrl-RS"/>
              </w:rPr>
              <w:t>204</w:t>
            </w:r>
          </w:p>
        </w:tc>
        <w:tc>
          <w:tcPr>
            <w:tcW w:w="157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4F71BD5"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35.363.468,55</w:t>
            </w:r>
          </w:p>
        </w:tc>
        <w:tc>
          <w:tcPr>
            <w:tcW w:w="1571" w:type="dxa"/>
            <w:tcBorders>
              <w:top w:val="nil"/>
              <w:left w:val="nil"/>
              <w:bottom w:val="single" w:sz="4" w:space="0" w:color="auto"/>
              <w:right w:val="single" w:sz="4" w:space="0" w:color="auto"/>
            </w:tcBorders>
            <w:shd w:val="clear" w:color="auto" w:fill="8DB3E2" w:themeFill="text2" w:themeFillTint="66"/>
            <w:vAlign w:val="center"/>
            <w:hideMark/>
          </w:tcPr>
          <w:p w14:paraId="36F381C9"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17.681.721,59</w:t>
            </w:r>
          </w:p>
        </w:tc>
        <w:tc>
          <w:tcPr>
            <w:tcW w:w="2146" w:type="dxa"/>
            <w:tcBorders>
              <w:top w:val="nil"/>
              <w:left w:val="nil"/>
              <w:bottom w:val="single" w:sz="4" w:space="0" w:color="auto"/>
              <w:right w:val="single" w:sz="4" w:space="0" w:color="auto"/>
            </w:tcBorders>
            <w:shd w:val="clear" w:color="auto" w:fill="8DB3E2" w:themeFill="text2" w:themeFillTint="66"/>
            <w:vAlign w:val="center"/>
            <w:hideMark/>
          </w:tcPr>
          <w:p w14:paraId="36C6D9D5"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8.840.867,14</w:t>
            </w:r>
          </w:p>
        </w:tc>
      </w:tr>
    </w:tbl>
    <w:p w14:paraId="538DCED0" w14:textId="77777777" w:rsidR="001538EF" w:rsidRPr="005767EF" w:rsidRDefault="001538EF" w:rsidP="001538EF">
      <w:pPr>
        <w:autoSpaceDE w:val="0"/>
        <w:autoSpaceDN w:val="0"/>
        <w:adjustRightInd w:val="0"/>
        <w:rPr>
          <w:rFonts w:asciiTheme="minorHAnsi" w:eastAsiaTheme="minorHAnsi" w:hAnsiTheme="minorHAnsi"/>
          <w:color w:val="FF0000"/>
          <w:sz w:val="20"/>
          <w:szCs w:val="20"/>
          <w:lang w:val="sr-Cyrl-BA" w:eastAsia="en-US"/>
        </w:rPr>
      </w:pPr>
    </w:p>
    <w:p w14:paraId="0243E3A6" w14:textId="77777777" w:rsidR="001538EF" w:rsidRPr="005767EF" w:rsidRDefault="001538EF" w:rsidP="001538EF">
      <w:pPr>
        <w:autoSpaceDE w:val="0"/>
        <w:autoSpaceDN w:val="0"/>
        <w:adjustRightInd w:val="0"/>
        <w:rPr>
          <w:rFonts w:asciiTheme="minorHAnsi" w:eastAsiaTheme="minorHAnsi" w:hAnsiTheme="minorHAnsi"/>
          <w:b/>
          <w:color w:val="auto"/>
          <w:sz w:val="20"/>
          <w:szCs w:val="20"/>
          <w:lang w:val="sr-Cyrl-BA" w:eastAsia="en-US"/>
        </w:rPr>
      </w:pPr>
    </w:p>
    <w:p w14:paraId="018101DE" w14:textId="77777777" w:rsidR="00254480" w:rsidRDefault="002801C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Од 237 укупно пласираних кредита у оквиру кредитног портфоли</w:t>
      </w:r>
      <w:r w:rsidR="004E0037">
        <w:rPr>
          <w:rFonts w:asciiTheme="minorHAnsi" w:hAnsiTheme="minorHAnsi" w:cs="Times New Roman"/>
          <w:color w:val="auto"/>
          <w:sz w:val="20"/>
          <w:szCs w:val="20"/>
          <w:lang w:val="sr-Cyrl-BA"/>
        </w:rPr>
        <w:t>ја, на дан 31.12.2023. године су  активна</w:t>
      </w:r>
      <w:r>
        <w:rPr>
          <w:rFonts w:asciiTheme="minorHAnsi" w:hAnsiTheme="minorHAnsi" w:cs="Times New Roman"/>
          <w:color w:val="auto"/>
          <w:sz w:val="20"/>
          <w:szCs w:val="20"/>
          <w:lang w:val="sr-Cyrl-BA"/>
        </w:rPr>
        <w:t xml:space="preserve"> </w:t>
      </w:r>
      <w:r w:rsidR="004E0037">
        <w:rPr>
          <w:rFonts w:asciiTheme="minorHAnsi" w:hAnsiTheme="minorHAnsi" w:cs="Times New Roman"/>
          <w:color w:val="auto"/>
          <w:sz w:val="20"/>
          <w:szCs w:val="20"/>
          <w:lang w:val="sr-Cyrl-BA"/>
        </w:rPr>
        <w:t>204</w:t>
      </w:r>
      <w:r w:rsidRPr="00254480">
        <w:rPr>
          <w:rFonts w:asciiTheme="minorHAnsi" w:hAnsiTheme="minorHAnsi" w:cs="Times New Roman"/>
          <w:color w:val="auto"/>
          <w:sz w:val="20"/>
          <w:szCs w:val="20"/>
          <w:lang w:val="sr-Cyrl-BA"/>
        </w:rPr>
        <w:t xml:space="preserve"> </w:t>
      </w:r>
      <w:r w:rsidR="00836834">
        <w:rPr>
          <w:rFonts w:asciiTheme="minorHAnsi" w:hAnsiTheme="minorHAnsi" w:cs="Times New Roman"/>
          <w:color w:val="auto"/>
          <w:sz w:val="20"/>
          <w:szCs w:val="20"/>
          <w:lang w:val="sr-Cyrl-BA"/>
        </w:rPr>
        <w:t xml:space="preserve">кредита </w:t>
      </w:r>
      <w:r>
        <w:rPr>
          <w:rFonts w:asciiTheme="minorHAnsi" w:hAnsiTheme="minorHAnsi" w:cs="Times New Roman"/>
          <w:color w:val="auto"/>
          <w:sz w:val="20"/>
          <w:szCs w:val="20"/>
          <w:lang w:val="sr-Cyrl-BA"/>
        </w:rPr>
        <w:t>чије с</w:t>
      </w:r>
      <w:r w:rsidR="001538EF" w:rsidRPr="005767EF">
        <w:rPr>
          <w:rFonts w:asciiTheme="minorHAnsi" w:hAnsiTheme="minorHAnsi" w:cs="Times New Roman"/>
          <w:color w:val="auto"/>
          <w:sz w:val="20"/>
          <w:szCs w:val="20"/>
          <w:lang w:val="sr-Cyrl-BA"/>
        </w:rPr>
        <w:t xml:space="preserve">тање износи </w:t>
      </w:r>
      <w:r w:rsidR="00B769DD">
        <w:rPr>
          <w:rFonts w:asciiTheme="minorHAnsi" w:hAnsiTheme="minorHAnsi" w:cs="Times New Roman"/>
          <w:color w:val="auto"/>
          <w:sz w:val="20"/>
          <w:szCs w:val="20"/>
          <w:lang w:val="sr-Cyrl-BA"/>
        </w:rPr>
        <w:t xml:space="preserve">35.363.468,55 </w:t>
      </w:r>
      <w:r>
        <w:rPr>
          <w:rFonts w:asciiTheme="minorHAnsi" w:hAnsiTheme="minorHAnsi" w:cs="Times New Roman"/>
          <w:color w:val="auto"/>
          <w:sz w:val="20"/>
          <w:szCs w:val="20"/>
          <w:lang w:val="sr-Cyrl-BA"/>
        </w:rPr>
        <w:t>КМ. С</w:t>
      </w:r>
      <w:r w:rsidR="00B769DD">
        <w:rPr>
          <w:rFonts w:asciiTheme="minorHAnsi" w:hAnsiTheme="minorHAnsi" w:cs="Times New Roman"/>
          <w:color w:val="auto"/>
          <w:sz w:val="20"/>
          <w:szCs w:val="20"/>
          <w:lang w:val="sr-Cyrl-BA"/>
        </w:rPr>
        <w:t>тање припадајућих гаранција</w:t>
      </w:r>
      <w:r>
        <w:rPr>
          <w:rFonts w:asciiTheme="minorHAnsi" w:hAnsiTheme="minorHAnsi" w:cs="Times New Roman"/>
          <w:color w:val="auto"/>
          <w:sz w:val="20"/>
          <w:szCs w:val="20"/>
          <w:lang w:val="sr-Cyrl-BA"/>
        </w:rPr>
        <w:t xml:space="preserve"> је</w:t>
      </w:r>
      <w:r w:rsidR="001538EF" w:rsidRPr="005767EF">
        <w:rPr>
          <w:rFonts w:asciiTheme="minorHAnsi" w:hAnsiTheme="minorHAnsi" w:cs="Times New Roman"/>
          <w:color w:val="auto"/>
          <w:sz w:val="20"/>
          <w:szCs w:val="20"/>
          <w:lang w:val="sr-Cyrl-BA"/>
        </w:rPr>
        <w:t xml:space="preserve"> </w:t>
      </w:r>
      <w:r w:rsidR="00B769DD">
        <w:rPr>
          <w:rFonts w:asciiTheme="minorHAnsi" w:hAnsiTheme="minorHAnsi" w:cs="Times New Roman"/>
          <w:color w:val="auto"/>
          <w:sz w:val="20"/>
          <w:szCs w:val="20"/>
          <w:lang w:val="sr-Cyrl-BA"/>
        </w:rPr>
        <w:t>17.681.721,59</w:t>
      </w:r>
      <w:r w:rsidR="001538EF" w:rsidRPr="005767EF">
        <w:rPr>
          <w:rFonts w:asciiTheme="minorHAnsi" w:hAnsiTheme="minorHAnsi" w:cs="Times New Roman"/>
          <w:color w:val="auto"/>
          <w:sz w:val="20"/>
          <w:szCs w:val="20"/>
          <w:lang w:val="sr-Cyrl-BA"/>
        </w:rPr>
        <w:t xml:space="preserve"> КМ.</w:t>
      </w:r>
      <w:r w:rsidR="00254480">
        <w:rPr>
          <w:rFonts w:asciiTheme="minorHAnsi" w:hAnsiTheme="minorHAnsi" w:cs="Times New Roman"/>
          <w:color w:val="auto"/>
          <w:sz w:val="20"/>
          <w:szCs w:val="20"/>
          <w:lang w:val="sr-Cyrl-BA"/>
        </w:rPr>
        <w:t xml:space="preserve"> Стање гаранција у оквиру општег портфолија износи </w:t>
      </w:r>
      <w:r w:rsidR="004E0037">
        <w:rPr>
          <w:rFonts w:asciiTheme="minorHAnsi" w:hAnsiTheme="minorHAnsi" w:cs="Times New Roman"/>
          <w:color w:val="auto"/>
          <w:sz w:val="20"/>
          <w:szCs w:val="20"/>
          <w:lang w:val="sr-Cyrl-BA"/>
        </w:rPr>
        <w:t>16.109.934,21</w:t>
      </w:r>
      <w:r w:rsidR="00254480">
        <w:rPr>
          <w:rFonts w:asciiTheme="minorHAnsi" w:hAnsiTheme="minorHAnsi" w:cs="Times New Roman"/>
          <w:color w:val="auto"/>
          <w:sz w:val="20"/>
          <w:szCs w:val="20"/>
          <w:lang w:val="sr-Cyrl-BA"/>
        </w:rPr>
        <w:t xml:space="preserve"> КМ, док је стање портфолија за енергетску ефикасност </w:t>
      </w:r>
      <w:r w:rsidR="004E0037">
        <w:rPr>
          <w:rFonts w:asciiTheme="minorHAnsi" w:hAnsiTheme="minorHAnsi" w:cs="Times New Roman"/>
          <w:color w:val="auto"/>
          <w:sz w:val="20"/>
          <w:szCs w:val="20"/>
          <w:lang w:val="sr-Cyrl-BA"/>
        </w:rPr>
        <w:t>1.571.787,38</w:t>
      </w:r>
      <w:r w:rsidR="00254480">
        <w:rPr>
          <w:rFonts w:asciiTheme="minorHAnsi" w:hAnsiTheme="minorHAnsi" w:cs="Times New Roman"/>
          <w:color w:val="auto"/>
          <w:sz w:val="20"/>
          <w:szCs w:val="20"/>
          <w:lang w:val="sr-Cyrl-BA"/>
        </w:rPr>
        <w:t xml:space="preserve"> КМ.</w:t>
      </w:r>
    </w:p>
    <w:p w14:paraId="4D315BB8" w14:textId="77777777" w:rsidR="00937B34" w:rsidRDefault="00937B34" w:rsidP="001538EF">
      <w:pPr>
        <w:pStyle w:val="Default"/>
        <w:jc w:val="both"/>
        <w:rPr>
          <w:rFonts w:asciiTheme="minorHAnsi" w:hAnsiTheme="minorHAnsi" w:cs="Times New Roman"/>
          <w:color w:val="auto"/>
          <w:sz w:val="20"/>
          <w:szCs w:val="20"/>
          <w:lang w:val="sr-Cyrl-BA"/>
        </w:rPr>
      </w:pPr>
    </w:p>
    <w:p w14:paraId="799889E9" w14:textId="77777777" w:rsidR="00937B34" w:rsidRDefault="00937B34"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Највише активних кредита чини портфолио </w:t>
      </w:r>
      <w:r w:rsidRPr="00937B34">
        <w:rPr>
          <w:rFonts w:asciiTheme="minorHAnsi" w:hAnsiTheme="minorHAnsi" w:cs="Times New Roman"/>
          <w:color w:val="auto"/>
          <w:sz w:val="20"/>
          <w:szCs w:val="20"/>
          <w:lang w:val="sr-Cyrl-BA"/>
        </w:rPr>
        <w:t>Procredit bank д.д. Сарајево</w:t>
      </w:r>
      <w:r>
        <w:rPr>
          <w:rFonts w:asciiTheme="minorHAnsi" w:hAnsiTheme="minorHAnsi" w:cs="Times New Roman"/>
          <w:color w:val="auto"/>
          <w:sz w:val="20"/>
          <w:szCs w:val="20"/>
          <w:lang w:val="sr-Cyrl-BA"/>
        </w:rPr>
        <w:t xml:space="preserve">, укупно 120 кредита чије је стање 26.417.597,89 КМ. Стање припрадајућих гаранција је 13.208.798,94 КМ. Портфолио </w:t>
      </w:r>
      <w:r w:rsidRPr="00937B34">
        <w:rPr>
          <w:rFonts w:asciiTheme="minorHAnsi" w:hAnsiTheme="minorHAnsi" w:cs="Times New Roman"/>
          <w:color w:val="auto"/>
          <w:sz w:val="20"/>
          <w:szCs w:val="20"/>
          <w:lang w:val="sr-Cyrl-BA"/>
        </w:rPr>
        <w:t>Unicredit bank а.д. Бања Лука</w:t>
      </w:r>
      <w:r>
        <w:rPr>
          <w:rFonts w:asciiTheme="minorHAnsi" w:hAnsiTheme="minorHAnsi" w:cs="Times New Roman"/>
          <w:color w:val="auto"/>
          <w:sz w:val="20"/>
          <w:szCs w:val="20"/>
          <w:lang w:val="sr-Cyrl-BA"/>
        </w:rPr>
        <w:t xml:space="preserve"> чини 59 кредита чије је стање на дан 31.12.2023. године 6.570.559,68 КМ. На трећем мјесту је МФ банка а.д. Бања Лука, чији портфолио чини 25 активних кредита у износу од 1.187.642,81 КМ.</w:t>
      </w:r>
    </w:p>
    <w:p w14:paraId="6BEFA834" w14:textId="77777777" w:rsidR="00254480" w:rsidRDefault="00254480" w:rsidP="001538EF">
      <w:pPr>
        <w:pStyle w:val="Default"/>
        <w:jc w:val="both"/>
        <w:rPr>
          <w:rFonts w:asciiTheme="minorHAnsi" w:hAnsiTheme="minorHAnsi" w:cs="Times New Roman"/>
          <w:color w:val="auto"/>
          <w:sz w:val="20"/>
          <w:szCs w:val="20"/>
          <w:lang w:val="sr-Cyrl-BA"/>
        </w:rPr>
      </w:pPr>
    </w:p>
    <w:p w14:paraId="6414B6C5" w14:textId="77777777" w:rsidR="007460B5" w:rsidRDefault="002801CF" w:rsidP="001538EF">
      <w:pPr>
        <w:pStyle w:val="Default"/>
        <w:jc w:val="both"/>
        <w:rPr>
          <w:rFonts w:asciiTheme="minorHAnsi" w:hAnsiTheme="minorHAnsi"/>
          <w:color w:val="auto"/>
          <w:sz w:val="20"/>
          <w:szCs w:val="20"/>
          <w:lang w:val="sr-Cyrl-BA"/>
        </w:rPr>
      </w:pPr>
      <w:r w:rsidRPr="007460B5">
        <w:rPr>
          <w:rFonts w:asciiTheme="minorHAnsi" w:hAnsiTheme="minorHAnsi"/>
          <w:color w:val="auto"/>
          <w:sz w:val="20"/>
          <w:szCs w:val="20"/>
          <w:lang w:val="sr-Cyrl-BA"/>
        </w:rPr>
        <w:t>Ван снаге по основу пријеврем</w:t>
      </w:r>
      <w:r>
        <w:rPr>
          <w:rFonts w:asciiTheme="minorHAnsi" w:hAnsiTheme="minorHAnsi"/>
          <w:color w:val="auto"/>
          <w:sz w:val="20"/>
          <w:szCs w:val="20"/>
          <w:lang w:val="sr-Cyrl-BA"/>
        </w:rPr>
        <w:t xml:space="preserve">ене отплате кредита или редовног истека </w:t>
      </w:r>
      <w:r w:rsidR="004E0037">
        <w:rPr>
          <w:rFonts w:asciiTheme="minorHAnsi" w:hAnsiTheme="minorHAnsi"/>
          <w:color w:val="auto"/>
          <w:sz w:val="20"/>
          <w:szCs w:val="20"/>
          <w:lang w:val="sr-Cyrl-BA"/>
        </w:rPr>
        <w:t xml:space="preserve">су </w:t>
      </w:r>
      <w:r w:rsidR="00937B34">
        <w:rPr>
          <w:rFonts w:asciiTheme="minorHAnsi" w:hAnsiTheme="minorHAnsi"/>
          <w:color w:val="auto"/>
          <w:sz w:val="20"/>
          <w:szCs w:val="20"/>
          <w:lang w:val="sr-Cyrl-BA"/>
        </w:rPr>
        <w:t xml:space="preserve">досад </w:t>
      </w:r>
      <w:r w:rsidR="004E0037">
        <w:rPr>
          <w:rFonts w:asciiTheme="minorHAnsi" w:hAnsiTheme="minorHAnsi"/>
          <w:color w:val="auto"/>
          <w:sz w:val="20"/>
          <w:szCs w:val="20"/>
          <w:lang w:val="sr-Cyrl-BA"/>
        </w:rPr>
        <w:t>стављене</w:t>
      </w:r>
      <w:r w:rsidRPr="007460B5">
        <w:rPr>
          <w:rFonts w:asciiTheme="minorHAnsi" w:hAnsiTheme="minorHAnsi"/>
          <w:color w:val="auto"/>
          <w:sz w:val="20"/>
          <w:szCs w:val="20"/>
          <w:lang w:val="sr-Cyrl-BA"/>
        </w:rPr>
        <w:t xml:space="preserve"> </w:t>
      </w:r>
      <w:r>
        <w:rPr>
          <w:rFonts w:asciiTheme="minorHAnsi" w:hAnsiTheme="minorHAnsi"/>
          <w:color w:val="auto"/>
          <w:sz w:val="20"/>
          <w:szCs w:val="20"/>
          <w:lang w:val="sr-Cyrl-BA"/>
        </w:rPr>
        <w:t>3</w:t>
      </w:r>
      <w:r w:rsidR="004E0037">
        <w:rPr>
          <w:rFonts w:asciiTheme="minorHAnsi" w:hAnsiTheme="minorHAnsi"/>
          <w:color w:val="auto"/>
          <w:sz w:val="20"/>
          <w:szCs w:val="20"/>
          <w:lang w:val="sr-Cyrl-BA"/>
        </w:rPr>
        <w:t>2</w:t>
      </w:r>
      <w:r>
        <w:rPr>
          <w:rFonts w:asciiTheme="minorHAnsi" w:hAnsiTheme="minorHAnsi"/>
          <w:color w:val="auto"/>
          <w:sz w:val="20"/>
          <w:szCs w:val="20"/>
          <w:lang w:val="sr-Cyrl-BA"/>
        </w:rPr>
        <w:t xml:space="preserve"> г</w:t>
      </w:r>
      <w:r w:rsidR="004E0037">
        <w:rPr>
          <w:rFonts w:asciiTheme="minorHAnsi" w:hAnsiTheme="minorHAnsi"/>
          <w:color w:val="auto"/>
          <w:sz w:val="20"/>
          <w:szCs w:val="20"/>
          <w:lang w:val="sr-Cyrl-BA"/>
        </w:rPr>
        <w:t xml:space="preserve">аранције. </w:t>
      </w:r>
      <w:r>
        <w:rPr>
          <w:rFonts w:asciiTheme="minorHAnsi" w:hAnsiTheme="minorHAnsi"/>
          <w:color w:val="auto"/>
          <w:sz w:val="20"/>
          <w:szCs w:val="20"/>
          <w:lang w:val="sr-Cyrl-BA"/>
        </w:rPr>
        <w:t>Протестована је</w:t>
      </w:r>
      <w:r w:rsidR="00EE734C">
        <w:rPr>
          <w:rFonts w:asciiTheme="minorHAnsi" w:hAnsiTheme="minorHAnsi"/>
          <w:color w:val="auto"/>
          <w:sz w:val="20"/>
          <w:szCs w:val="20"/>
          <w:lang w:val="sr-Cyrl-BA"/>
        </w:rPr>
        <w:t xml:space="preserve"> и плаћена</w:t>
      </w:r>
      <w:r>
        <w:rPr>
          <w:rFonts w:asciiTheme="minorHAnsi" w:hAnsiTheme="minorHAnsi"/>
          <w:color w:val="auto"/>
          <w:sz w:val="20"/>
          <w:szCs w:val="20"/>
          <w:lang w:val="sr-Cyrl-BA"/>
        </w:rPr>
        <w:t xml:space="preserve"> само једна гаранција у износу од 32.499,79 КМ, а захтјев за плаћање је поднесен од стране МФ банке а.д. Бања Лука у децембру 2023. године.</w:t>
      </w:r>
    </w:p>
    <w:p w14:paraId="09B4825B" w14:textId="77777777" w:rsidR="007460B5" w:rsidRDefault="007460B5" w:rsidP="001538EF">
      <w:pPr>
        <w:pStyle w:val="Default"/>
        <w:jc w:val="both"/>
        <w:rPr>
          <w:rFonts w:asciiTheme="minorHAnsi" w:hAnsiTheme="minorHAnsi" w:cs="Times New Roman"/>
          <w:color w:val="auto"/>
          <w:sz w:val="20"/>
          <w:szCs w:val="20"/>
          <w:lang w:val="sr-Cyrl-BA"/>
        </w:rPr>
      </w:pPr>
    </w:p>
    <w:p w14:paraId="6CF987EA" w14:textId="77777777" w:rsidR="001538EF" w:rsidRPr="005767EF" w:rsidRDefault="00B769DD"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И</w:t>
      </w:r>
      <w:r w:rsidR="002801CF">
        <w:rPr>
          <w:rFonts w:asciiTheme="minorHAnsi" w:hAnsiTheme="minorHAnsi" w:cs="Times New Roman"/>
          <w:color w:val="auto"/>
          <w:sz w:val="20"/>
          <w:szCs w:val="20"/>
          <w:lang w:val="sr-Cyrl-BA"/>
        </w:rPr>
        <w:t>ако је стопа гарантованог износа по појединачном кредиту</w:t>
      </w:r>
      <w:r>
        <w:rPr>
          <w:rFonts w:asciiTheme="minorHAnsi" w:hAnsiTheme="minorHAnsi" w:cs="Times New Roman"/>
          <w:color w:val="auto"/>
          <w:sz w:val="20"/>
          <w:szCs w:val="20"/>
          <w:lang w:val="sr-Cyrl-BA"/>
        </w:rPr>
        <w:t xml:space="preserve"> 50%, прописан је максимални дозвоље</w:t>
      </w:r>
      <w:r w:rsidR="007460B5">
        <w:rPr>
          <w:rFonts w:asciiTheme="minorHAnsi" w:hAnsiTheme="minorHAnsi" w:cs="Times New Roman"/>
          <w:color w:val="auto"/>
          <w:sz w:val="20"/>
          <w:szCs w:val="20"/>
          <w:lang w:val="sr-Cyrl-BA"/>
        </w:rPr>
        <w:t>ни износ гаранције, односно мак</w:t>
      </w:r>
      <w:r>
        <w:rPr>
          <w:rFonts w:asciiTheme="minorHAnsi" w:hAnsiTheme="minorHAnsi" w:cs="Times New Roman"/>
          <w:color w:val="auto"/>
          <w:sz w:val="20"/>
          <w:szCs w:val="20"/>
          <w:lang w:val="sr-Cyrl-BA"/>
        </w:rPr>
        <w:t xml:space="preserve">симална изложеност на нивоу кредитног портфолија која износи 25% вриједности портфолија. </w:t>
      </w:r>
    </w:p>
    <w:p w14:paraId="3BE01850" w14:textId="77777777" w:rsidR="00B769DD" w:rsidRDefault="00B769DD" w:rsidP="001538EF">
      <w:pPr>
        <w:pStyle w:val="Default"/>
        <w:jc w:val="both"/>
        <w:rPr>
          <w:rFonts w:asciiTheme="minorHAnsi" w:hAnsiTheme="minorHAnsi" w:cs="Times New Roman"/>
          <w:color w:val="auto"/>
          <w:sz w:val="20"/>
          <w:szCs w:val="20"/>
          <w:lang w:val="sr-Cyrl-BA"/>
        </w:rPr>
      </w:pPr>
    </w:p>
    <w:p w14:paraId="1F119C17" w14:textId="77777777" w:rsidR="001538EF" w:rsidRPr="00B769DD" w:rsidRDefault="00B769DD" w:rsidP="001538EF">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lang w:val="sr-Cyrl-BA"/>
        </w:rPr>
        <w:t xml:space="preserve">Наиме, члан 2, </w:t>
      </w:r>
      <w:r w:rsidR="001538EF" w:rsidRPr="005767EF">
        <w:rPr>
          <w:rFonts w:asciiTheme="minorHAnsi" w:hAnsiTheme="minorHAnsi" w:cs="Times New Roman"/>
          <w:color w:val="auto"/>
          <w:sz w:val="20"/>
          <w:szCs w:val="20"/>
          <w:lang w:val="sr-Cyrl-BA"/>
        </w:rPr>
        <w:t>став 5  Правилни</w:t>
      </w:r>
      <w:r>
        <w:rPr>
          <w:rFonts w:asciiTheme="minorHAnsi" w:hAnsiTheme="minorHAnsi" w:cs="Times New Roman"/>
          <w:color w:val="auto"/>
          <w:sz w:val="20"/>
          <w:szCs w:val="20"/>
          <w:lang w:val="sr-Cyrl-BA"/>
        </w:rPr>
        <w:t xml:space="preserve">ка о одобравању гаранција </w:t>
      </w:r>
      <w:r w:rsidR="002801CF">
        <w:rPr>
          <w:rFonts w:asciiTheme="minorHAnsi" w:hAnsiTheme="minorHAnsi" w:cs="Times New Roman"/>
          <w:color w:val="auto"/>
          <w:sz w:val="20"/>
          <w:szCs w:val="20"/>
          <w:lang w:val="sr-Cyrl-BA"/>
        </w:rPr>
        <w:t xml:space="preserve">прописује </w:t>
      </w:r>
      <w:r w:rsidR="001538EF" w:rsidRPr="005767EF">
        <w:rPr>
          <w:rFonts w:asciiTheme="minorHAnsi" w:hAnsiTheme="minorHAnsi" w:cs="Times New Roman"/>
          <w:color w:val="auto"/>
          <w:sz w:val="20"/>
          <w:szCs w:val="20"/>
          <w:lang w:val="sr-Cyrl-BA"/>
        </w:rPr>
        <w:t xml:space="preserve"> да се г</w:t>
      </w:r>
      <w:r>
        <w:rPr>
          <w:rFonts w:asciiTheme="minorHAnsi" w:hAnsiTheme="minorHAnsi" w:cs="Times New Roman"/>
          <w:color w:val="auto"/>
          <w:sz w:val="20"/>
          <w:szCs w:val="20"/>
          <w:lang w:val="sr-Latn-RS"/>
        </w:rPr>
        <w:t>аранцијом по портф</w:t>
      </w:r>
      <w:r>
        <w:rPr>
          <w:rFonts w:asciiTheme="minorHAnsi" w:hAnsiTheme="minorHAnsi" w:cs="Times New Roman"/>
          <w:color w:val="auto"/>
          <w:sz w:val="20"/>
          <w:szCs w:val="20"/>
          <w:lang w:val="sr-Cyrl-RS"/>
        </w:rPr>
        <w:t>олиј</w:t>
      </w:r>
      <w:r w:rsidR="001538EF" w:rsidRPr="005767EF">
        <w:rPr>
          <w:rFonts w:asciiTheme="minorHAnsi" w:hAnsiTheme="minorHAnsi" w:cs="Times New Roman"/>
          <w:color w:val="auto"/>
          <w:sz w:val="20"/>
          <w:szCs w:val="20"/>
          <w:lang w:val="sr-Latn-RS"/>
        </w:rPr>
        <w:t>у одређене банке или друге финансијске институције гарантује исплата ма</w:t>
      </w:r>
      <w:r>
        <w:rPr>
          <w:rFonts w:asciiTheme="minorHAnsi" w:hAnsiTheme="minorHAnsi" w:cs="Times New Roman"/>
          <w:color w:val="auto"/>
          <w:sz w:val="20"/>
          <w:szCs w:val="20"/>
          <w:lang w:val="sr-Latn-RS"/>
        </w:rPr>
        <w:t>ксимално до 25% укупн</w:t>
      </w:r>
      <w:r>
        <w:rPr>
          <w:rFonts w:asciiTheme="minorHAnsi" w:hAnsiTheme="minorHAnsi" w:cs="Times New Roman"/>
          <w:color w:val="auto"/>
          <w:sz w:val="20"/>
          <w:szCs w:val="20"/>
          <w:lang w:val="sr-Cyrl-RS"/>
        </w:rPr>
        <w:t xml:space="preserve">е вриједности портфолија. У складу с тим, </w:t>
      </w:r>
      <w:r>
        <w:rPr>
          <w:rFonts w:asciiTheme="minorHAnsi" w:hAnsiTheme="minorHAnsi" w:cs="Times New Roman"/>
          <w:color w:val="auto"/>
          <w:sz w:val="20"/>
          <w:szCs w:val="20"/>
          <w:lang w:val="sr-Cyrl-BA"/>
        </w:rPr>
        <w:t>изложеност Гарантног фонда</w:t>
      </w:r>
      <w:r w:rsidR="001538EF" w:rsidRPr="005767EF">
        <w:rPr>
          <w:rFonts w:asciiTheme="minorHAnsi" w:hAnsiTheme="minorHAnsi" w:cs="Times New Roman"/>
          <w:color w:val="auto"/>
          <w:sz w:val="20"/>
          <w:szCs w:val="20"/>
          <w:lang w:val="sr-Cyrl-BA"/>
        </w:rPr>
        <w:t xml:space="preserve"> по изданим г</w:t>
      </w:r>
      <w:r>
        <w:rPr>
          <w:rFonts w:asciiTheme="minorHAnsi" w:hAnsiTheme="minorHAnsi" w:cs="Times New Roman"/>
          <w:color w:val="auto"/>
          <w:sz w:val="20"/>
          <w:szCs w:val="20"/>
          <w:lang w:val="sr-Cyrl-BA"/>
        </w:rPr>
        <w:t>аранцијама из кредитног портфолија</w:t>
      </w:r>
      <w:r w:rsidR="001538EF" w:rsidRPr="005767EF">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на дан 31.12.2023. године износи 8.840.869,14  КМ.  </w:t>
      </w:r>
      <w:r w:rsidR="00937B34">
        <w:rPr>
          <w:rFonts w:asciiTheme="minorHAnsi" w:hAnsiTheme="minorHAnsi" w:cs="Times New Roman"/>
          <w:color w:val="auto"/>
          <w:sz w:val="20"/>
          <w:szCs w:val="20"/>
          <w:lang w:val="sr-Cyrl-BA"/>
        </w:rPr>
        <w:t xml:space="preserve">Највећа је изложеност према </w:t>
      </w:r>
      <w:r w:rsidR="00035CC3" w:rsidRPr="00035CC3">
        <w:rPr>
          <w:rFonts w:asciiTheme="minorHAnsi" w:hAnsiTheme="minorHAnsi" w:cs="Times New Roman"/>
          <w:color w:val="auto"/>
          <w:sz w:val="20"/>
          <w:szCs w:val="20"/>
          <w:lang w:val="sr-Cyrl-BA"/>
        </w:rPr>
        <w:t xml:space="preserve">Procredit bank д.д. Сарајево </w:t>
      </w:r>
      <w:r w:rsidR="00035CC3">
        <w:rPr>
          <w:rFonts w:asciiTheme="minorHAnsi" w:hAnsiTheme="minorHAnsi" w:cs="Times New Roman"/>
          <w:color w:val="auto"/>
          <w:sz w:val="20"/>
          <w:szCs w:val="20"/>
          <w:lang w:val="sr-Cyrl-BA"/>
        </w:rPr>
        <w:t xml:space="preserve">и она износи </w:t>
      </w:r>
      <w:r w:rsidR="00937B34" w:rsidRPr="00937B34">
        <w:rPr>
          <w:rFonts w:asciiTheme="minorHAnsi" w:hAnsiTheme="minorHAnsi" w:cs="Times New Roman"/>
          <w:color w:val="auto"/>
          <w:sz w:val="20"/>
          <w:szCs w:val="20"/>
          <w:lang w:val="sr-Cyrl-BA"/>
        </w:rPr>
        <w:t>6.604.399,47</w:t>
      </w:r>
      <w:r w:rsidR="00035CC3">
        <w:rPr>
          <w:rFonts w:asciiTheme="minorHAnsi" w:hAnsiTheme="minorHAnsi" w:cs="Times New Roman"/>
          <w:color w:val="auto"/>
          <w:sz w:val="20"/>
          <w:szCs w:val="20"/>
          <w:lang w:val="sr-Cyrl-BA"/>
        </w:rPr>
        <w:t xml:space="preserve"> КМ.</w:t>
      </w:r>
    </w:p>
    <w:p w14:paraId="019DEED5" w14:textId="77777777" w:rsidR="001538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22E01801"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0A05A1CE" w14:textId="77777777" w:rsidR="007460B5" w:rsidRDefault="007460B5" w:rsidP="001538EF">
      <w:pPr>
        <w:autoSpaceDE w:val="0"/>
        <w:autoSpaceDN w:val="0"/>
        <w:adjustRightInd w:val="0"/>
        <w:rPr>
          <w:rFonts w:asciiTheme="minorHAnsi" w:eastAsiaTheme="minorHAnsi" w:hAnsiTheme="minorHAnsi"/>
          <w:color w:val="auto"/>
          <w:sz w:val="20"/>
          <w:szCs w:val="20"/>
          <w:lang w:val="sr-Cyrl-BA" w:eastAsia="en-US"/>
        </w:rPr>
      </w:pPr>
    </w:p>
    <w:p w14:paraId="151D06BC"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1598208C"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08254636"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190328F3"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2946AB43"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1724F548"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7FE2955F"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32894746"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57801DEC"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6908CA3D"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11436865" w14:textId="77777777" w:rsidR="009051D2" w:rsidRPr="005767EF" w:rsidRDefault="009051D2" w:rsidP="001538EF">
      <w:pPr>
        <w:rPr>
          <w:rFonts w:asciiTheme="minorHAnsi" w:hAnsiTheme="minorHAnsi"/>
          <w:sz w:val="20"/>
          <w:szCs w:val="20"/>
          <w:lang w:val="sr-Cyrl-BA"/>
        </w:rPr>
      </w:pPr>
    </w:p>
    <w:p w14:paraId="6208A330" w14:textId="77777777" w:rsidR="001538EF" w:rsidRPr="00E84021" w:rsidRDefault="00E84021" w:rsidP="00E84021">
      <w:pPr>
        <w:pStyle w:val="Heading2"/>
        <w:numPr>
          <w:ilvl w:val="0"/>
          <w:numId w:val="0"/>
        </w:numPr>
        <w:ind w:left="576" w:hanging="576"/>
        <w:rPr>
          <w:rFonts w:asciiTheme="minorHAnsi" w:hAnsiTheme="minorHAnsi"/>
          <w:b/>
          <w:szCs w:val="20"/>
        </w:rPr>
      </w:pPr>
      <w:bookmarkStart w:id="8" w:name="_Toc135292172"/>
      <w:r w:rsidRPr="00E84021">
        <w:rPr>
          <w:rFonts w:asciiTheme="minorHAnsi" w:hAnsiTheme="minorHAnsi"/>
          <w:b/>
          <w:szCs w:val="20"/>
          <w:lang w:val="sr-Cyrl-RS"/>
        </w:rPr>
        <w:t>2.</w:t>
      </w:r>
      <w:r w:rsidR="00A944C8">
        <w:rPr>
          <w:rFonts w:asciiTheme="minorHAnsi" w:hAnsiTheme="minorHAnsi"/>
          <w:b/>
          <w:szCs w:val="20"/>
          <w:lang w:val="sr-Cyrl-RS"/>
        </w:rPr>
        <w:t>3.</w:t>
      </w:r>
      <w:r w:rsidRPr="00E84021">
        <w:rPr>
          <w:rFonts w:asciiTheme="minorHAnsi" w:hAnsiTheme="minorHAnsi"/>
          <w:b/>
          <w:szCs w:val="20"/>
          <w:lang w:val="sr-Cyrl-RS"/>
        </w:rPr>
        <w:t xml:space="preserve">  </w:t>
      </w:r>
      <w:r w:rsidR="001538EF" w:rsidRPr="00E84021">
        <w:rPr>
          <w:rFonts w:asciiTheme="minorHAnsi" w:hAnsiTheme="minorHAnsi"/>
          <w:b/>
          <w:szCs w:val="20"/>
        </w:rPr>
        <w:t xml:space="preserve">АНАЛИЗА  ИЗДАНИХ ГАРАНЦИЈА </w:t>
      </w:r>
      <w:bookmarkEnd w:id="8"/>
      <w:r w:rsidR="00EE734C" w:rsidRPr="00E84021">
        <w:rPr>
          <w:rFonts w:asciiTheme="minorHAnsi" w:hAnsiTheme="minorHAnsi"/>
          <w:b/>
          <w:szCs w:val="20"/>
          <w:lang w:val="sr-Cyrl-RS"/>
        </w:rPr>
        <w:t>НА ЕМИТОВАНЕ ХАРТИЈЕ ОД ВРИЈЕДНОСТИ</w:t>
      </w:r>
    </w:p>
    <w:p w14:paraId="006940A2" w14:textId="77777777" w:rsidR="001538EF" w:rsidRPr="005767EF" w:rsidRDefault="001538EF" w:rsidP="001538EF">
      <w:pPr>
        <w:rPr>
          <w:rFonts w:asciiTheme="minorHAnsi" w:hAnsiTheme="minorHAnsi"/>
          <w:sz w:val="20"/>
          <w:szCs w:val="20"/>
        </w:rPr>
      </w:pPr>
    </w:p>
    <w:p w14:paraId="60E1324F" w14:textId="77777777" w:rsidR="001538EF" w:rsidRDefault="00EE734C" w:rsidP="001538EF">
      <w:pPr>
        <w:rPr>
          <w:rFonts w:asciiTheme="minorHAnsi" w:hAnsiTheme="minorHAnsi"/>
          <w:sz w:val="20"/>
          <w:szCs w:val="20"/>
          <w:lang w:val="sr-Cyrl-RS"/>
        </w:rPr>
      </w:pPr>
      <w:r>
        <w:rPr>
          <w:rFonts w:asciiTheme="minorHAnsi" w:hAnsiTheme="minorHAnsi"/>
          <w:sz w:val="20"/>
          <w:szCs w:val="20"/>
          <w:lang w:val="sr-Cyrl-BA"/>
        </w:rPr>
        <w:t>Чланом  6</w:t>
      </w:r>
      <w:r w:rsidR="001538EF" w:rsidRPr="005767EF">
        <w:rPr>
          <w:rFonts w:asciiTheme="minorHAnsi" w:hAnsiTheme="minorHAnsi"/>
          <w:sz w:val="20"/>
          <w:szCs w:val="20"/>
          <w:lang w:val="sr-Cyrl-BA"/>
        </w:rPr>
        <w:t xml:space="preserve"> став 2 </w:t>
      </w:r>
      <w:r w:rsidR="001538EF" w:rsidRPr="005767EF">
        <w:rPr>
          <w:rFonts w:asciiTheme="minorHAnsi" w:hAnsiTheme="minorHAnsi"/>
          <w:sz w:val="20"/>
          <w:szCs w:val="20"/>
        </w:rPr>
        <w:t>Закон</w:t>
      </w:r>
      <w:r>
        <w:rPr>
          <w:rFonts w:asciiTheme="minorHAnsi" w:hAnsiTheme="minorHAnsi"/>
          <w:sz w:val="20"/>
          <w:szCs w:val="20"/>
          <w:lang w:val="sr-Cyrl-RS"/>
        </w:rPr>
        <w:t>а</w:t>
      </w:r>
      <w:r w:rsidR="001538EF" w:rsidRPr="005767EF">
        <w:rPr>
          <w:rFonts w:asciiTheme="minorHAnsi" w:hAnsiTheme="minorHAnsi"/>
          <w:sz w:val="20"/>
          <w:szCs w:val="20"/>
        </w:rPr>
        <w:t xml:space="preserve"> о измјенама и допунама Закона о Гарантном фонду Републике Српске  </w:t>
      </w:r>
      <w:r>
        <w:rPr>
          <w:rFonts w:asciiTheme="minorHAnsi" w:hAnsiTheme="minorHAnsi"/>
          <w:sz w:val="20"/>
          <w:szCs w:val="20"/>
          <w:lang w:val="sr-Cyrl-RS"/>
        </w:rPr>
        <w:t>(</w:t>
      </w:r>
      <w:r w:rsidR="001538EF" w:rsidRPr="005767EF">
        <w:rPr>
          <w:rFonts w:asciiTheme="minorHAnsi" w:hAnsiTheme="minorHAnsi"/>
          <w:sz w:val="20"/>
          <w:szCs w:val="20"/>
        </w:rPr>
        <w:t>„Службени гласник Републике Српске“ број 107/19</w:t>
      </w:r>
      <w:r w:rsidR="001538EF" w:rsidRPr="005767EF">
        <w:rPr>
          <w:rFonts w:asciiTheme="minorHAnsi" w:hAnsiTheme="minorHAnsi"/>
          <w:sz w:val="20"/>
          <w:szCs w:val="20"/>
          <w:lang w:val="sr-Cyrl-BA"/>
        </w:rPr>
        <w:t xml:space="preserve">) </w:t>
      </w:r>
      <w:r>
        <w:rPr>
          <w:rFonts w:asciiTheme="minorHAnsi" w:hAnsiTheme="minorHAnsi"/>
          <w:sz w:val="20"/>
          <w:szCs w:val="20"/>
        </w:rPr>
        <w:t xml:space="preserve"> дефинисанa је</w:t>
      </w:r>
      <w:r w:rsidR="001538EF" w:rsidRPr="005767EF">
        <w:rPr>
          <w:rFonts w:asciiTheme="minorHAnsi" w:hAnsiTheme="minorHAnsi"/>
          <w:sz w:val="20"/>
          <w:szCs w:val="20"/>
        </w:rPr>
        <w:t xml:space="preserve"> могућност из</w:t>
      </w:r>
      <w:r>
        <w:rPr>
          <w:rFonts w:asciiTheme="minorHAnsi" w:hAnsiTheme="minorHAnsi"/>
          <w:sz w:val="20"/>
          <w:szCs w:val="20"/>
        </w:rPr>
        <w:t xml:space="preserve">давања гаранција </w:t>
      </w:r>
      <w:r>
        <w:rPr>
          <w:rFonts w:asciiTheme="minorHAnsi" w:hAnsiTheme="minorHAnsi"/>
          <w:sz w:val="20"/>
          <w:szCs w:val="20"/>
          <w:lang w:val="sr-Cyrl-RS"/>
        </w:rPr>
        <w:t xml:space="preserve">којим се </w:t>
      </w:r>
      <w:r>
        <w:rPr>
          <w:rFonts w:asciiTheme="minorHAnsi" w:hAnsiTheme="minorHAnsi"/>
          <w:sz w:val="20"/>
          <w:szCs w:val="20"/>
        </w:rPr>
        <w:t>гарант</w:t>
      </w:r>
      <w:r>
        <w:rPr>
          <w:rFonts w:asciiTheme="minorHAnsi" w:hAnsiTheme="minorHAnsi"/>
          <w:sz w:val="20"/>
          <w:szCs w:val="20"/>
          <w:lang w:val="sr-Cyrl-RS"/>
        </w:rPr>
        <w:t>ују</w:t>
      </w:r>
      <w:r>
        <w:rPr>
          <w:rFonts w:asciiTheme="minorHAnsi" w:hAnsiTheme="minorHAnsi"/>
          <w:sz w:val="20"/>
          <w:szCs w:val="20"/>
        </w:rPr>
        <w:t xml:space="preserve"> финансијск</w:t>
      </w:r>
      <w:r>
        <w:rPr>
          <w:rFonts w:asciiTheme="minorHAnsi" w:hAnsiTheme="minorHAnsi"/>
          <w:sz w:val="20"/>
          <w:szCs w:val="20"/>
          <w:lang w:val="sr-Cyrl-RS"/>
        </w:rPr>
        <w:t>е</w:t>
      </w:r>
      <w:r w:rsidR="001538EF" w:rsidRPr="005767EF">
        <w:rPr>
          <w:rFonts w:asciiTheme="minorHAnsi" w:hAnsiTheme="minorHAnsi"/>
          <w:sz w:val="20"/>
          <w:szCs w:val="20"/>
        </w:rPr>
        <w:t xml:space="preserve"> обавеза предузетника из дужничких хартија од вриједности које предузетник емитује у складу са прописима којим се уређује тржиште хартија од вриједности у поступку јавне понуде.</w:t>
      </w:r>
    </w:p>
    <w:p w14:paraId="3A53E807" w14:textId="77777777" w:rsidR="00EE734C" w:rsidRPr="00EE734C" w:rsidRDefault="00EE734C" w:rsidP="001538EF">
      <w:pPr>
        <w:rPr>
          <w:rFonts w:asciiTheme="minorHAnsi" w:hAnsiTheme="minorHAnsi"/>
          <w:sz w:val="20"/>
          <w:szCs w:val="20"/>
          <w:lang w:val="sr-Cyrl-RS"/>
        </w:rPr>
      </w:pPr>
    </w:p>
    <w:p w14:paraId="3FF928EA" w14:textId="77777777" w:rsidR="00553306" w:rsidRDefault="00553306" w:rsidP="001538EF">
      <w:pPr>
        <w:rPr>
          <w:rFonts w:asciiTheme="minorHAnsi" w:eastAsiaTheme="minorHAnsi" w:hAnsiTheme="minorHAnsi"/>
          <w:sz w:val="20"/>
          <w:szCs w:val="20"/>
          <w:lang w:val="sr-Cyrl-RS" w:eastAsia="en-US"/>
        </w:rPr>
      </w:pPr>
      <w:r>
        <w:rPr>
          <w:rFonts w:asciiTheme="minorHAnsi" w:eastAsiaTheme="minorHAnsi" w:hAnsiTheme="minorHAnsi"/>
          <w:sz w:val="20"/>
          <w:szCs w:val="20"/>
          <w:lang w:val="sr-Cyrl-RS" w:eastAsia="en-US"/>
        </w:rPr>
        <w:t xml:space="preserve">Специфичност ове врсте гарантног посла је у томе што </w:t>
      </w:r>
      <w:r w:rsidR="009051D2">
        <w:rPr>
          <w:rFonts w:asciiTheme="minorHAnsi" w:eastAsiaTheme="minorHAnsi" w:hAnsiTheme="minorHAnsi"/>
          <w:sz w:val="20"/>
          <w:szCs w:val="20"/>
          <w:lang w:val="sr-Cyrl-RS" w:eastAsia="en-US"/>
        </w:rPr>
        <w:t xml:space="preserve">се </w:t>
      </w:r>
      <w:r w:rsidR="00083935">
        <w:rPr>
          <w:rFonts w:asciiTheme="minorHAnsi" w:eastAsiaTheme="minorHAnsi" w:hAnsiTheme="minorHAnsi"/>
          <w:sz w:val="20"/>
          <w:szCs w:val="20"/>
          <w:lang w:val="sr-Cyrl-RS" w:eastAsia="en-US"/>
        </w:rPr>
        <w:t xml:space="preserve">као уговорна страна јавља </w:t>
      </w:r>
      <w:r>
        <w:rPr>
          <w:rFonts w:asciiTheme="minorHAnsi" w:eastAsiaTheme="minorHAnsi" w:hAnsiTheme="minorHAnsi"/>
          <w:sz w:val="20"/>
          <w:szCs w:val="20"/>
          <w:lang w:val="sr-Cyrl-RS" w:eastAsia="en-US"/>
        </w:rPr>
        <w:t xml:space="preserve">Централни регистар хартија од вриједности а.д. Бања Лука, који наступа као платни агент у име и за рачун власника емитованих хартија од вриједности, притом обављајући послове који се тичу обрачуна ануитета и камата, провођења поступка наплате, чувања мјеница итд.  </w:t>
      </w:r>
    </w:p>
    <w:p w14:paraId="54A360B7" w14:textId="77777777" w:rsidR="00553306" w:rsidRDefault="00553306" w:rsidP="001538EF">
      <w:pPr>
        <w:rPr>
          <w:rFonts w:asciiTheme="minorHAnsi" w:eastAsiaTheme="minorHAnsi" w:hAnsiTheme="minorHAnsi"/>
          <w:sz w:val="20"/>
          <w:szCs w:val="20"/>
          <w:lang w:val="sr-Cyrl-RS" w:eastAsia="en-US"/>
        </w:rPr>
      </w:pPr>
    </w:p>
    <w:p w14:paraId="1AC21FCE" w14:textId="77777777" w:rsidR="001538EF" w:rsidRDefault="00EE734C" w:rsidP="001538EF">
      <w:pPr>
        <w:rPr>
          <w:rFonts w:asciiTheme="minorHAnsi" w:eastAsiaTheme="minorHAnsi" w:hAnsiTheme="minorHAnsi"/>
          <w:sz w:val="20"/>
          <w:szCs w:val="20"/>
          <w:lang w:val="sr-Cyrl-BA" w:eastAsia="en-US"/>
        </w:rPr>
      </w:pPr>
      <w:r>
        <w:rPr>
          <w:rFonts w:asciiTheme="minorHAnsi" w:eastAsiaTheme="minorHAnsi" w:hAnsiTheme="minorHAnsi"/>
          <w:sz w:val="20"/>
          <w:szCs w:val="20"/>
          <w:lang w:val="sr-Latn-RS" w:eastAsia="en-US"/>
        </w:rPr>
        <w:t>Увођењем ов</w:t>
      </w:r>
      <w:r>
        <w:rPr>
          <w:rFonts w:asciiTheme="minorHAnsi" w:eastAsiaTheme="minorHAnsi" w:hAnsiTheme="minorHAnsi"/>
          <w:sz w:val="20"/>
          <w:szCs w:val="20"/>
          <w:lang w:val="sr-Cyrl-RS" w:eastAsia="en-US"/>
        </w:rPr>
        <w:t>е</w:t>
      </w:r>
      <w:r>
        <w:rPr>
          <w:rFonts w:asciiTheme="minorHAnsi" w:eastAsiaTheme="minorHAnsi" w:hAnsiTheme="minorHAnsi"/>
          <w:sz w:val="20"/>
          <w:szCs w:val="20"/>
          <w:lang w:val="sr-Latn-RS" w:eastAsia="en-US"/>
        </w:rPr>
        <w:t xml:space="preserve"> законск</w:t>
      </w:r>
      <w:r>
        <w:rPr>
          <w:rFonts w:asciiTheme="minorHAnsi" w:eastAsiaTheme="minorHAnsi" w:hAnsiTheme="minorHAnsi"/>
          <w:sz w:val="20"/>
          <w:szCs w:val="20"/>
          <w:lang w:val="sr-Cyrl-RS" w:eastAsia="en-US"/>
        </w:rPr>
        <w:t>е</w:t>
      </w:r>
      <w:r w:rsidR="001538EF" w:rsidRPr="005767EF">
        <w:rPr>
          <w:rFonts w:asciiTheme="minorHAnsi" w:eastAsiaTheme="minorHAnsi" w:hAnsiTheme="minorHAnsi"/>
          <w:sz w:val="20"/>
          <w:szCs w:val="20"/>
          <w:lang w:val="sr-Latn-RS" w:eastAsia="en-US"/>
        </w:rPr>
        <w:t xml:space="preserve"> могућности</w:t>
      </w:r>
      <w:r>
        <w:rPr>
          <w:rFonts w:asciiTheme="minorHAnsi" w:eastAsiaTheme="minorHAnsi" w:hAnsiTheme="minorHAnsi"/>
          <w:sz w:val="20"/>
          <w:szCs w:val="20"/>
          <w:lang w:val="sr-Cyrl-RS" w:eastAsia="en-US"/>
        </w:rPr>
        <w:t xml:space="preserve"> крајем 20</w:t>
      </w:r>
      <w:r w:rsidR="00553306">
        <w:rPr>
          <w:rFonts w:asciiTheme="minorHAnsi" w:eastAsiaTheme="minorHAnsi" w:hAnsiTheme="minorHAnsi"/>
          <w:sz w:val="20"/>
          <w:szCs w:val="20"/>
          <w:lang w:val="sr-Cyrl-RS" w:eastAsia="en-US"/>
        </w:rPr>
        <w:t>19</w:t>
      </w:r>
      <w:r>
        <w:rPr>
          <w:rFonts w:asciiTheme="minorHAnsi" w:eastAsiaTheme="minorHAnsi" w:hAnsiTheme="minorHAnsi"/>
          <w:sz w:val="20"/>
          <w:szCs w:val="20"/>
          <w:lang w:val="sr-Cyrl-RS" w:eastAsia="en-US"/>
        </w:rPr>
        <w:t>. године,</w:t>
      </w:r>
      <w:r w:rsidR="001538EF" w:rsidRPr="005767EF">
        <w:rPr>
          <w:rFonts w:asciiTheme="minorHAnsi" w:eastAsiaTheme="minorHAnsi" w:hAnsiTheme="minorHAnsi"/>
          <w:sz w:val="20"/>
          <w:szCs w:val="20"/>
          <w:lang w:val="sr-Latn-RS" w:eastAsia="en-US"/>
        </w:rPr>
        <w:t xml:space="preserve"> </w:t>
      </w:r>
      <w:r>
        <w:rPr>
          <w:rFonts w:asciiTheme="minorHAnsi" w:eastAsiaTheme="minorHAnsi" w:hAnsiTheme="minorHAnsi"/>
          <w:sz w:val="20"/>
          <w:szCs w:val="20"/>
          <w:lang w:val="sr-Cyrl-RS" w:eastAsia="en-US"/>
        </w:rPr>
        <w:t>Гарантни ф</w:t>
      </w:r>
      <w:r w:rsidR="001538EF" w:rsidRPr="005767EF">
        <w:rPr>
          <w:rFonts w:asciiTheme="minorHAnsi" w:eastAsiaTheme="minorHAnsi" w:hAnsiTheme="minorHAnsi"/>
          <w:sz w:val="20"/>
          <w:szCs w:val="20"/>
          <w:lang w:val="sr-Latn-RS" w:eastAsia="en-US"/>
        </w:rPr>
        <w:t>онд је</w:t>
      </w:r>
      <w:r w:rsidR="00553306">
        <w:rPr>
          <w:rFonts w:asciiTheme="minorHAnsi" w:eastAsiaTheme="minorHAnsi" w:hAnsiTheme="minorHAnsi"/>
          <w:sz w:val="20"/>
          <w:szCs w:val="20"/>
          <w:lang w:val="sr-Cyrl-BA" w:eastAsia="en-US"/>
        </w:rPr>
        <w:t xml:space="preserve"> </w:t>
      </w:r>
      <w:r w:rsidR="00E85509">
        <w:rPr>
          <w:rFonts w:asciiTheme="minorHAnsi" w:eastAsiaTheme="minorHAnsi" w:hAnsiTheme="minorHAnsi"/>
          <w:sz w:val="20"/>
          <w:szCs w:val="20"/>
          <w:lang w:val="sr-Cyrl-BA" w:eastAsia="en-US"/>
        </w:rPr>
        <w:t>почетком</w:t>
      </w:r>
      <w:r>
        <w:rPr>
          <w:rFonts w:asciiTheme="minorHAnsi" w:eastAsiaTheme="minorHAnsi" w:hAnsiTheme="minorHAnsi"/>
          <w:sz w:val="20"/>
          <w:szCs w:val="20"/>
          <w:lang w:val="sr-Cyrl-BA" w:eastAsia="en-US"/>
        </w:rPr>
        <w:t xml:space="preserve"> 2021. године</w:t>
      </w:r>
      <w:r w:rsidR="001538EF" w:rsidRPr="005767EF">
        <w:rPr>
          <w:rFonts w:asciiTheme="minorHAnsi" w:eastAsiaTheme="minorHAnsi" w:hAnsiTheme="minorHAnsi"/>
          <w:sz w:val="20"/>
          <w:szCs w:val="20"/>
          <w:lang w:val="sr-Cyrl-BA" w:eastAsia="en-US"/>
        </w:rPr>
        <w:t xml:space="preserve"> </w:t>
      </w:r>
      <w:r w:rsidR="001538EF" w:rsidRPr="005767EF">
        <w:rPr>
          <w:rFonts w:asciiTheme="minorHAnsi" w:eastAsiaTheme="minorHAnsi" w:hAnsiTheme="minorHAnsi"/>
          <w:sz w:val="20"/>
          <w:szCs w:val="20"/>
          <w:lang w:val="sr-Latn-RS" w:eastAsia="en-US"/>
        </w:rPr>
        <w:t xml:space="preserve"> издао </w:t>
      </w:r>
      <w:r>
        <w:rPr>
          <w:rFonts w:asciiTheme="minorHAnsi" w:eastAsiaTheme="minorHAnsi" w:hAnsiTheme="minorHAnsi"/>
          <w:sz w:val="20"/>
          <w:szCs w:val="20"/>
          <w:lang w:val="sr-Cyrl-RS" w:eastAsia="en-US"/>
        </w:rPr>
        <w:t xml:space="preserve">прву </w:t>
      </w:r>
      <w:r>
        <w:rPr>
          <w:rFonts w:asciiTheme="minorHAnsi" w:eastAsiaTheme="minorHAnsi" w:hAnsiTheme="minorHAnsi"/>
          <w:sz w:val="20"/>
          <w:szCs w:val="20"/>
          <w:lang w:val="sr-Latn-RS" w:eastAsia="en-US"/>
        </w:rPr>
        <w:t>гаранциј</w:t>
      </w:r>
      <w:r>
        <w:rPr>
          <w:rFonts w:asciiTheme="minorHAnsi" w:eastAsiaTheme="minorHAnsi" w:hAnsiTheme="minorHAnsi"/>
          <w:sz w:val="20"/>
          <w:szCs w:val="20"/>
          <w:lang w:val="sr-Cyrl-RS" w:eastAsia="en-US"/>
        </w:rPr>
        <w:t>у</w:t>
      </w:r>
      <w:r w:rsidR="001538EF" w:rsidRPr="005767EF">
        <w:rPr>
          <w:rFonts w:asciiTheme="minorHAnsi" w:eastAsiaTheme="minorHAnsi" w:hAnsiTheme="minorHAnsi"/>
          <w:sz w:val="20"/>
          <w:szCs w:val="20"/>
          <w:lang w:val="sr-Latn-RS" w:eastAsia="en-US"/>
        </w:rPr>
        <w:t xml:space="preserve"> на емисију обвезница </w:t>
      </w:r>
      <w:r>
        <w:rPr>
          <w:rFonts w:asciiTheme="minorHAnsi" w:eastAsiaTheme="minorHAnsi" w:hAnsiTheme="minorHAnsi"/>
          <w:sz w:val="20"/>
          <w:szCs w:val="20"/>
          <w:lang w:val="sr-Cyrl-RS" w:eastAsia="en-US"/>
        </w:rPr>
        <w:t xml:space="preserve">јавног предузећа </w:t>
      </w:r>
      <w:r w:rsidR="001538EF" w:rsidRPr="005767EF">
        <w:rPr>
          <w:rFonts w:asciiTheme="minorHAnsi" w:eastAsiaTheme="minorHAnsi" w:hAnsiTheme="minorHAnsi"/>
          <w:sz w:val="20"/>
          <w:szCs w:val="20"/>
          <w:lang w:val="sr-Latn-RS" w:eastAsia="en-US"/>
        </w:rPr>
        <w:t xml:space="preserve">Водовод </w:t>
      </w:r>
      <w:r>
        <w:rPr>
          <w:rFonts w:asciiTheme="minorHAnsi" w:eastAsiaTheme="minorHAnsi" w:hAnsiTheme="minorHAnsi"/>
          <w:sz w:val="20"/>
          <w:szCs w:val="20"/>
          <w:lang w:val="sr-Cyrl-RS" w:eastAsia="en-US"/>
        </w:rPr>
        <w:t xml:space="preserve">а.д. </w:t>
      </w:r>
      <w:r w:rsidR="001538EF" w:rsidRPr="005767EF">
        <w:rPr>
          <w:rFonts w:asciiTheme="minorHAnsi" w:eastAsiaTheme="minorHAnsi" w:hAnsiTheme="minorHAnsi"/>
          <w:sz w:val="20"/>
          <w:szCs w:val="20"/>
          <w:lang w:val="sr-Latn-RS" w:eastAsia="en-US"/>
        </w:rPr>
        <w:t>Козар</w:t>
      </w:r>
      <w:r>
        <w:rPr>
          <w:rFonts w:asciiTheme="minorHAnsi" w:eastAsiaTheme="minorHAnsi" w:hAnsiTheme="minorHAnsi"/>
          <w:sz w:val="20"/>
          <w:szCs w:val="20"/>
          <w:lang w:val="sr-Latn-RS" w:eastAsia="en-US"/>
        </w:rPr>
        <w:t xml:space="preserve">ска Дубица </w:t>
      </w:r>
      <w:r w:rsidR="001538EF" w:rsidRPr="005767EF">
        <w:rPr>
          <w:rFonts w:asciiTheme="minorHAnsi" w:eastAsiaTheme="minorHAnsi" w:hAnsiTheme="minorHAnsi"/>
          <w:sz w:val="20"/>
          <w:szCs w:val="20"/>
          <w:lang w:val="sr-Latn-RS" w:eastAsia="en-US"/>
        </w:rPr>
        <w:t xml:space="preserve">у износу од 850.000,00 </w:t>
      </w:r>
      <w:r w:rsidR="001538EF" w:rsidRPr="005767EF">
        <w:rPr>
          <w:rFonts w:asciiTheme="minorHAnsi" w:eastAsiaTheme="minorHAnsi" w:hAnsiTheme="minorHAnsi"/>
          <w:sz w:val="20"/>
          <w:szCs w:val="20"/>
          <w:lang w:val="sr-Cyrl-BA" w:eastAsia="en-US"/>
        </w:rPr>
        <w:t>КМ. Преостали и</w:t>
      </w:r>
      <w:r w:rsidR="0069428E">
        <w:rPr>
          <w:rFonts w:asciiTheme="minorHAnsi" w:eastAsiaTheme="minorHAnsi" w:hAnsiTheme="minorHAnsi"/>
          <w:sz w:val="20"/>
          <w:szCs w:val="20"/>
          <w:lang w:val="sr-Cyrl-BA" w:eastAsia="en-US"/>
        </w:rPr>
        <w:t>знос гаранције</w:t>
      </w:r>
      <w:r>
        <w:rPr>
          <w:rFonts w:asciiTheme="minorHAnsi" w:eastAsiaTheme="minorHAnsi" w:hAnsiTheme="minorHAnsi"/>
          <w:sz w:val="20"/>
          <w:szCs w:val="20"/>
          <w:lang w:val="sr-Cyrl-BA" w:eastAsia="en-US"/>
        </w:rPr>
        <w:t xml:space="preserve"> на дан 31.12.2023</w:t>
      </w:r>
      <w:r w:rsidR="001538EF" w:rsidRPr="005767EF">
        <w:rPr>
          <w:rFonts w:asciiTheme="minorHAnsi" w:eastAsiaTheme="minorHAnsi" w:hAnsiTheme="minorHAnsi"/>
          <w:sz w:val="20"/>
          <w:szCs w:val="20"/>
          <w:lang w:val="sr-Cyrl-BA" w:eastAsia="en-US"/>
        </w:rPr>
        <w:t xml:space="preserve">. године </w:t>
      </w:r>
      <w:r w:rsidR="001538EF" w:rsidRPr="0069428E">
        <w:rPr>
          <w:rFonts w:asciiTheme="minorHAnsi" w:eastAsiaTheme="minorHAnsi" w:hAnsiTheme="minorHAnsi"/>
          <w:color w:val="auto"/>
          <w:sz w:val="20"/>
          <w:szCs w:val="20"/>
          <w:lang w:val="sr-Cyrl-BA" w:eastAsia="en-US"/>
        </w:rPr>
        <w:t xml:space="preserve">је </w:t>
      </w:r>
      <w:r w:rsidR="00F7504C" w:rsidRPr="0069428E">
        <w:rPr>
          <w:rFonts w:asciiTheme="minorHAnsi" w:eastAsiaTheme="minorHAnsi" w:hAnsiTheme="minorHAnsi"/>
          <w:color w:val="auto"/>
          <w:sz w:val="20"/>
          <w:szCs w:val="20"/>
          <w:lang w:val="sr-Cyrl-BA" w:eastAsia="en-US"/>
        </w:rPr>
        <w:t>741</w:t>
      </w:r>
      <w:r w:rsidR="0069428E" w:rsidRPr="0069428E">
        <w:rPr>
          <w:rFonts w:asciiTheme="minorHAnsi" w:eastAsiaTheme="minorHAnsi" w:hAnsiTheme="minorHAnsi"/>
          <w:color w:val="auto"/>
          <w:sz w:val="20"/>
          <w:szCs w:val="20"/>
          <w:lang w:val="sr-Cyrl-BA" w:eastAsia="en-US"/>
        </w:rPr>
        <w:t>.</w:t>
      </w:r>
      <w:r w:rsidR="00F7504C" w:rsidRPr="0069428E">
        <w:rPr>
          <w:rFonts w:asciiTheme="minorHAnsi" w:eastAsiaTheme="minorHAnsi" w:hAnsiTheme="minorHAnsi"/>
          <w:color w:val="auto"/>
          <w:sz w:val="20"/>
          <w:szCs w:val="20"/>
          <w:lang w:val="sr-Cyrl-BA" w:eastAsia="en-US"/>
        </w:rPr>
        <w:t>629</w:t>
      </w:r>
      <w:r w:rsidR="0069428E" w:rsidRPr="0069428E">
        <w:rPr>
          <w:rFonts w:asciiTheme="minorHAnsi" w:eastAsiaTheme="minorHAnsi" w:hAnsiTheme="minorHAnsi"/>
          <w:color w:val="auto"/>
          <w:sz w:val="20"/>
          <w:szCs w:val="20"/>
          <w:lang w:val="sr-Cyrl-BA" w:eastAsia="en-US"/>
        </w:rPr>
        <w:t>,26 КМ.</w:t>
      </w:r>
    </w:p>
    <w:p w14:paraId="244AD4B7" w14:textId="77777777" w:rsidR="00EE734C" w:rsidRPr="005767EF" w:rsidRDefault="00EE734C" w:rsidP="001538EF">
      <w:pPr>
        <w:rPr>
          <w:rFonts w:asciiTheme="minorHAnsi" w:hAnsiTheme="minorHAnsi"/>
          <w:sz w:val="20"/>
          <w:szCs w:val="20"/>
          <w:lang w:val="sr-Cyrl-BA"/>
        </w:rPr>
      </w:pPr>
    </w:p>
    <w:p w14:paraId="65CF30C4" w14:textId="77777777" w:rsidR="00553306" w:rsidRDefault="00553306" w:rsidP="00553306">
      <w:pPr>
        <w:rPr>
          <w:rFonts w:asciiTheme="minorHAnsi" w:hAnsiTheme="minorHAnsi"/>
          <w:sz w:val="20"/>
          <w:szCs w:val="20"/>
          <w:lang w:val="sr-Cyrl-BA"/>
        </w:rPr>
      </w:pPr>
      <w:r>
        <w:rPr>
          <w:rFonts w:asciiTheme="minorHAnsi" w:hAnsiTheme="minorHAnsi"/>
          <w:sz w:val="20"/>
          <w:szCs w:val="20"/>
          <w:lang w:val="sr-Cyrl-BA"/>
        </w:rPr>
        <w:t>Т</w:t>
      </w:r>
      <w:r w:rsidRPr="005767EF">
        <w:rPr>
          <w:rFonts w:asciiTheme="minorHAnsi" w:hAnsiTheme="minorHAnsi"/>
          <w:sz w:val="20"/>
          <w:szCs w:val="20"/>
          <w:lang w:val="sr-Cyrl-BA"/>
        </w:rPr>
        <w:t>оком 2023. године</w:t>
      </w:r>
      <w:r>
        <w:rPr>
          <w:rFonts w:asciiTheme="minorHAnsi" w:hAnsiTheme="minorHAnsi"/>
          <w:sz w:val="20"/>
          <w:szCs w:val="20"/>
          <w:lang w:val="sr-Cyrl-BA"/>
        </w:rPr>
        <w:t xml:space="preserve">, </w:t>
      </w:r>
      <w:r w:rsidRPr="005767EF">
        <w:rPr>
          <w:rFonts w:asciiTheme="minorHAnsi" w:hAnsiTheme="minorHAnsi"/>
          <w:sz w:val="20"/>
          <w:szCs w:val="20"/>
          <w:lang w:val="sr-Cyrl-BA"/>
        </w:rPr>
        <w:t xml:space="preserve"> </w:t>
      </w:r>
      <w:r w:rsidR="00E85509">
        <w:rPr>
          <w:rFonts w:asciiTheme="minorHAnsi" w:hAnsiTheme="minorHAnsi"/>
          <w:sz w:val="20"/>
          <w:szCs w:val="20"/>
          <w:lang w:val="sr-Cyrl-BA"/>
        </w:rPr>
        <w:t xml:space="preserve">Влада Републике Српске у функцији </w:t>
      </w:r>
      <w:r w:rsidR="00E85509">
        <w:rPr>
          <w:rFonts w:asciiTheme="minorHAnsi" w:hAnsiTheme="minorHAnsi"/>
          <w:sz w:val="20"/>
          <w:szCs w:val="20"/>
        </w:rPr>
        <w:t>Скупштин</w:t>
      </w:r>
      <w:r w:rsidR="00E85509">
        <w:rPr>
          <w:rFonts w:asciiTheme="minorHAnsi" w:hAnsiTheme="minorHAnsi"/>
          <w:sz w:val="20"/>
          <w:szCs w:val="20"/>
          <w:lang w:val="sr-Cyrl-RS"/>
        </w:rPr>
        <w:t>е</w:t>
      </w:r>
      <w:r w:rsidRPr="005767EF">
        <w:rPr>
          <w:rFonts w:asciiTheme="minorHAnsi" w:hAnsiTheme="minorHAnsi"/>
          <w:sz w:val="20"/>
          <w:szCs w:val="20"/>
        </w:rPr>
        <w:t xml:space="preserve"> акционара Гарантног фонда Републике Српске је одобрила </w:t>
      </w:r>
      <w:r>
        <w:rPr>
          <w:rFonts w:asciiTheme="minorHAnsi" w:hAnsiTheme="minorHAnsi"/>
          <w:sz w:val="20"/>
          <w:szCs w:val="20"/>
          <w:lang w:val="sr-Cyrl-RS"/>
        </w:rPr>
        <w:t xml:space="preserve">издавање двије гаранције на емитоване обвезнице, и то: </w:t>
      </w:r>
      <w:r>
        <w:rPr>
          <w:rFonts w:asciiTheme="minorHAnsi" w:hAnsiTheme="minorHAnsi"/>
          <w:sz w:val="20"/>
          <w:szCs w:val="20"/>
          <w:lang w:val="sr-Cyrl-BA"/>
        </w:rPr>
        <w:t xml:space="preserve">гаранцију у износу од </w:t>
      </w:r>
      <w:r w:rsidR="00083935">
        <w:rPr>
          <w:rFonts w:asciiTheme="minorHAnsi" w:hAnsiTheme="minorHAnsi"/>
          <w:sz w:val="20"/>
          <w:szCs w:val="20"/>
          <w:lang w:val="sr-Cyrl-BA"/>
        </w:rPr>
        <w:t xml:space="preserve">1.200.000,00 КМ </w:t>
      </w:r>
      <w:r w:rsidRPr="005767EF">
        <w:rPr>
          <w:rFonts w:asciiTheme="minorHAnsi" w:hAnsiTheme="minorHAnsi"/>
          <w:sz w:val="20"/>
          <w:szCs w:val="20"/>
          <w:lang w:val="sr-Cyrl-BA"/>
        </w:rPr>
        <w:t>по захтјеву привредног друштва Интерлигнум д.о.о. Те</w:t>
      </w:r>
      <w:r w:rsidR="00083935">
        <w:rPr>
          <w:rFonts w:asciiTheme="minorHAnsi" w:hAnsiTheme="minorHAnsi"/>
          <w:sz w:val="20"/>
          <w:szCs w:val="20"/>
          <w:lang w:val="sr-Cyrl-BA"/>
        </w:rPr>
        <w:t>слић</w:t>
      </w:r>
      <w:r w:rsidRPr="005767EF">
        <w:rPr>
          <w:rFonts w:asciiTheme="minorHAnsi" w:hAnsiTheme="minorHAnsi"/>
          <w:sz w:val="20"/>
          <w:szCs w:val="20"/>
          <w:lang w:val="sr-Cyrl-BA"/>
        </w:rPr>
        <w:t>, чиме је подржано 60% вриједности емисије</w:t>
      </w:r>
      <w:r w:rsidR="00083935">
        <w:rPr>
          <w:rFonts w:asciiTheme="minorHAnsi" w:hAnsiTheme="minorHAnsi"/>
          <w:sz w:val="20"/>
          <w:szCs w:val="20"/>
          <w:lang w:val="sr-Cyrl-BA"/>
        </w:rPr>
        <w:t xml:space="preserve"> обвезница у износу од</w:t>
      </w:r>
      <w:r w:rsidRPr="005767EF">
        <w:rPr>
          <w:rFonts w:asciiTheme="minorHAnsi" w:hAnsiTheme="minorHAnsi"/>
          <w:sz w:val="20"/>
          <w:szCs w:val="20"/>
          <w:lang w:val="sr-Cyrl-BA"/>
        </w:rPr>
        <w:t xml:space="preserve"> </w:t>
      </w:r>
      <w:r w:rsidR="00083935">
        <w:rPr>
          <w:rFonts w:asciiTheme="minorHAnsi" w:hAnsiTheme="minorHAnsi"/>
          <w:sz w:val="20"/>
          <w:szCs w:val="20"/>
          <w:lang w:val="sr-Cyrl-BA"/>
        </w:rPr>
        <w:t>2.000.000,00 КМ и гаранцију у износу од 660.000,00 КМ</w:t>
      </w:r>
      <w:r w:rsidRPr="005767EF">
        <w:rPr>
          <w:rFonts w:asciiTheme="minorHAnsi" w:hAnsiTheme="minorHAnsi"/>
          <w:sz w:val="20"/>
          <w:szCs w:val="20"/>
          <w:lang w:val="sr-Cyrl-BA"/>
        </w:rPr>
        <w:t xml:space="preserve"> по захтјеву привредног друштва ДИ Шипово д.о.о. </w:t>
      </w:r>
      <w:r w:rsidR="00083935">
        <w:rPr>
          <w:rFonts w:asciiTheme="minorHAnsi" w:hAnsiTheme="minorHAnsi"/>
          <w:sz w:val="20"/>
          <w:szCs w:val="20"/>
          <w:lang w:val="sr-Cyrl-BA"/>
        </w:rPr>
        <w:t xml:space="preserve">Шипово, чиме је подржано 30% </w:t>
      </w:r>
      <w:r w:rsidR="00083935" w:rsidRPr="00083935">
        <w:rPr>
          <w:rFonts w:asciiTheme="minorHAnsi" w:hAnsiTheme="minorHAnsi"/>
          <w:sz w:val="20"/>
          <w:szCs w:val="20"/>
          <w:lang w:val="sr-Cyrl-BA"/>
        </w:rPr>
        <w:t>вриједности е</w:t>
      </w:r>
      <w:r w:rsidR="00083935">
        <w:rPr>
          <w:rFonts w:asciiTheme="minorHAnsi" w:hAnsiTheme="minorHAnsi"/>
          <w:sz w:val="20"/>
          <w:szCs w:val="20"/>
          <w:lang w:val="sr-Cyrl-BA"/>
        </w:rPr>
        <w:t>мисије обвезница у износу од 2.2</w:t>
      </w:r>
      <w:r w:rsidR="00083935" w:rsidRPr="00083935">
        <w:rPr>
          <w:rFonts w:asciiTheme="minorHAnsi" w:hAnsiTheme="minorHAnsi"/>
          <w:sz w:val="20"/>
          <w:szCs w:val="20"/>
          <w:lang w:val="sr-Cyrl-BA"/>
        </w:rPr>
        <w:t>00.000,00 КМ</w:t>
      </w:r>
      <w:r w:rsidR="00083935">
        <w:rPr>
          <w:rFonts w:asciiTheme="minorHAnsi" w:hAnsiTheme="minorHAnsi"/>
          <w:sz w:val="20"/>
          <w:szCs w:val="20"/>
          <w:lang w:val="sr-Cyrl-BA"/>
        </w:rPr>
        <w:t>.</w:t>
      </w:r>
    </w:p>
    <w:p w14:paraId="588EC98F" w14:textId="77777777" w:rsidR="00083935" w:rsidRPr="00083935" w:rsidRDefault="00083935" w:rsidP="00553306">
      <w:pPr>
        <w:rPr>
          <w:rFonts w:asciiTheme="minorHAnsi" w:hAnsiTheme="minorHAnsi"/>
          <w:sz w:val="20"/>
          <w:szCs w:val="20"/>
          <w:lang w:val="sr-Cyrl-RS"/>
        </w:rPr>
      </w:pPr>
    </w:p>
    <w:p w14:paraId="78D7648A" w14:textId="77777777" w:rsidR="001538EF" w:rsidRDefault="00083935" w:rsidP="00083935">
      <w:pPr>
        <w:jc w:val="center"/>
        <w:rPr>
          <w:rFonts w:asciiTheme="minorHAnsi" w:hAnsiTheme="minorHAnsi"/>
          <w:b/>
          <w:sz w:val="20"/>
          <w:szCs w:val="20"/>
          <w:lang w:val="sr-Cyrl-BA"/>
        </w:rPr>
      </w:pPr>
      <w:r w:rsidRPr="00083935">
        <w:rPr>
          <w:rFonts w:asciiTheme="minorHAnsi" w:hAnsiTheme="minorHAnsi"/>
          <w:b/>
          <w:sz w:val="20"/>
          <w:szCs w:val="20"/>
          <w:lang w:val="sr-Cyrl-BA"/>
        </w:rPr>
        <w:t>Преглед изданих гаранција на емитоване хартије од вриједности у периоду 01.01.2023.-31.12.2023. године</w:t>
      </w:r>
    </w:p>
    <w:p w14:paraId="7A38EA0E" w14:textId="77777777" w:rsidR="00083935" w:rsidRPr="00083935" w:rsidRDefault="00A944C8" w:rsidP="00083935">
      <w:pPr>
        <w:jc w:val="right"/>
        <w:rPr>
          <w:rFonts w:asciiTheme="minorHAnsi" w:hAnsiTheme="minorHAnsi"/>
          <w:b/>
          <w:sz w:val="20"/>
          <w:szCs w:val="20"/>
          <w:lang w:val="sr-Cyrl-BA"/>
        </w:rPr>
      </w:pPr>
      <w:r>
        <w:rPr>
          <w:rFonts w:asciiTheme="minorHAnsi" w:hAnsiTheme="minorHAnsi"/>
          <w:b/>
          <w:sz w:val="20"/>
          <w:szCs w:val="20"/>
          <w:lang w:val="sr-Cyrl-BA"/>
        </w:rPr>
        <w:t>Табела 15</w:t>
      </w:r>
      <w:r w:rsidR="00083935">
        <w:rPr>
          <w:rFonts w:asciiTheme="minorHAnsi" w:hAnsiTheme="minorHAnsi"/>
          <w:b/>
          <w:sz w:val="20"/>
          <w:szCs w:val="20"/>
          <w:lang w:val="sr-Cyrl-BA"/>
        </w:rPr>
        <w:t xml:space="preserve">  </w:t>
      </w: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402"/>
        <w:gridCol w:w="1418"/>
        <w:gridCol w:w="1701"/>
        <w:gridCol w:w="1559"/>
      </w:tblGrid>
      <w:tr w:rsidR="00E13F69" w:rsidRPr="005767EF" w14:paraId="102A9B76" w14:textId="77777777" w:rsidTr="00E13F69">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47818E3" w14:textId="77777777" w:rsidR="00E13F69" w:rsidRPr="00083935" w:rsidRDefault="00E13F69" w:rsidP="00083935">
            <w:pPr>
              <w:ind w:right="-108" w:hanging="142"/>
              <w:jc w:val="center"/>
              <w:rPr>
                <w:rFonts w:asciiTheme="minorHAnsi" w:hAnsiTheme="minorHAnsi"/>
                <w:b/>
                <w:sz w:val="18"/>
                <w:szCs w:val="18"/>
                <w:lang w:val="sr-Cyrl-BA" w:eastAsia="sr-Latn-RS"/>
              </w:rPr>
            </w:pPr>
            <w:r w:rsidRPr="00083935">
              <w:rPr>
                <w:rFonts w:asciiTheme="minorHAnsi" w:hAnsiTheme="minorHAnsi"/>
                <w:b/>
                <w:sz w:val="18"/>
                <w:szCs w:val="18"/>
                <w:lang w:val="sr-Cyrl-BA" w:eastAsia="sr-Latn-RS"/>
              </w:rPr>
              <w:t>Редни број</w:t>
            </w:r>
          </w:p>
        </w:tc>
        <w:tc>
          <w:tcPr>
            <w:tcW w:w="3402"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3E5FBBC5" w14:textId="77777777" w:rsidR="00E13F69" w:rsidRPr="00083935" w:rsidRDefault="00E13F69" w:rsidP="00F75B3A">
            <w:pPr>
              <w:jc w:val="center"/>
              <w:rPr>
                <w:rFonts w:asciiTheme="minorHAnsi" w:hAnsiTheme="minorHAnsi"/>
                <w:b/>
                <w:sz w:val="18"/>
                <w:szCs w:val="18"/>
                <w:lang w:val="sr-Latn-RS" w:eastAsia="sr-Latn-RS"/>
              </w:rPr>
            </w:pPr>
            <w:r w:rsidRPr="00083935">
              <w:rPr>
                <w:rFonts w:asciiTheme="minorHAnsi" w:hAnsiTheme="minorHAnsi"/>
                <w:b/>
                <w:sz w:val="18"/>
                <w:szCs w:val="18"/>
                <w:lang w:val="sr-Latn-RS" w:eastAsia="sr-Latn-RS"/>
              </w:rPr>
              <w:t>Налогодавац</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9B33F6B" w14:textId="77777777" w:rsidR="00E13F69" w:rsidRPr="00E13F69" w:rsidRDefault="00E13F69" w:rsidP="00F75B3A">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Вриједност емисије</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C94D751" w14:textId="77777777" w:rsidR="00E13F69" w:rsidRPr="00083935" w:rsidRDefault="00E13F69" w:rsidP="00F75B3A">
            <w:pPr>
              <w:jc w:val="center"/>
              <w:rPr>
                <w:rFonts w:asciiTheme="minorHAnsi" w:hAnsiTheme="minorHAnsi"/>
                <w:b/>
                <w:sz w:val="18"/>
                <w:szCs w:val="18"/>
                <w:lang w:val="sr-Cyrl-RS" w:eastAsia="sr-Latn-RS"/>
              </w:rPr>
            </w:pPr>
            <w:r w:rsidRPr="00083935">
              <w:rPr>
                <w:rFonts w:asciiTheme="minorHAnsi" w:hAnsiTheme="minorHAnsi"/>
                <w:b/>
                <w:sz w:val="18"/>
                <w:szCs w:val="18"/>
                <w:lang w:val="sr-Latn-RS" w:eastAsia="sr-Latn-RS"/>
              </w:rPr>
              <w:t>Износ гаранциј</w:t>
            </w:r>
            <w:r w:rsidRPr="00083935">
              <w:rPr>
                <w:rFonts w:asciiTheme="minorHAnsi" w:hAnsiTheme="minorHAnsi"/>
                <w:b/>
                <w:sz w:val="18"/>
                <w:szCs w:val="18"/>
                <w:lang w:val="sr-Cyrl-RS" w:eastAsia="sr-Latn-RS"/>
              </w:rPr>
              <w:t>е</w:t>
            </w:r>
          </w:p>
        </w:tc>
        <w:tc>
          <w:tcPr>
            <w:tcW w:w="1559" w:type="dxa"/>
            <w:tcBorders>
              <w:top w:val="single" w:sz="4" w:space="0" w:color="auto"/>
              <w:left w:val="nil"/>
              <w:bottom w:val="single" w:sz="4" w:space="0" w:color="auto"/>
              <w:right w:val="single" w:sz="4" w:space="0" w:color="auto"/>
            </w:tcBorders>
            <w:shd w:val="clear" w:color="auto" w:fill="8DB3E2" w:themeFill="text2" w:themeFillTint="66"/>
          </w:tcPr>
          <w:p w14:paraId="25152A8D" w14:textId="77777777" w:rsidR="00E13F69" w:rsidRDefault="00E13F69" w:rsidP="00F75B3A">
            <w:pPr>
              <w:jc w:val="center"/>
              <w:rPr>
                <w:rFonts w:asciiTheme="minorHAnsi" w:hAnsiTheme="minorHAnsi"/>
                <w:b/>
                <w:sz w:val="18"/>
                <w:szCs w:val="18"/>
                <w:lang w:val="sr-Cyrl-RS" w:eastAsia="sr-Latn-RS"/>
              </w:rPr>
            </w:pPr>
          </w:p>
          <w:p w14:paraId="380E1AE5" w14:textId="77777777" w:rsidR="00E13F69" w:rsidRPr="00E13F69" w:rsidRDefault="00E85509" w:rsidP="00F75B3A">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Стање гаранција</w:t>
            </w:r>
            <w:r w:rsidR="00E13F69">
              <w:rPr>
                <w:rFonts w:asciiTheme="minorHAnsi" w:hAnsiTheme="minorHAnsi"/>
                <w:b/>
                <w:sz w:val="18"/>
                <w:szCs w:val="18"/>
                <w:lang w:val="sr-Cyrl-RS" w:eastAsia="sr-Latn-RS"/>
              </w:rPr>
              <w:t xml:space="preserve"> на дан 31.12.2023. године</w:t>
            </w:r>
          </w:p>
        </w:tc>
      </w:tr>
      <w:tr w:rsidR="00E13F69" w:rsidRPr="005767EF" w14:paraId="3C0CDA86" w14:textId="77777777" w:rsidTr="0069428E">
        <w:trPr>
          <w:trHeight w:val="25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D9AB04B" w14:textId="77777777" w:rsidR="00E13F69" w:rsidRPr="00083935" w:rsidRDefault="00E13F69" w:rsidP="00F75B3A">
            <w:pPr>
              <w:jc w:val="center"/>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26A1074" w14:textId="77777777"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Интерлигнум д.о.о. Теслић</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05F87F" w14:textId="77777777"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1B0F7B" w14:textId="77777777" w:rsidR="00E13F69" w:rsidRPr="00083935" w:rsidRDefault="00E13F69" w:rsidP="0069428E">
            <w:pPr>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1.200.000,00</w:t>
            </w:r>
          </w:p>
        </w:tc>
        <w:tc>
          <w:tcPr>
            <w:tcW w:w="1559" w:type="dxa"/>
            <w:tcBorders>
              <w:top w:val="single" w:sz="4" w:space="0" w:color="auto"/>
              <w:left w:val="single" w:sz="4" w:space="0" w:color="auto"/>
              <w:bottom w:val="single" w:sz="4" w:space="0" w:color="auto"/>
              <w:right w:val="single" w:sz="4" w:space="0" w:color="auto"/>
            </w:tcBorders>
            <w:vAlign w:val="center"/>
          </w:tcPr>
          <w:p w14:paraId="732DB886" w14:textId="77777777" w:rsidR="00E13F69" w:rsidRPr="00083935" w:rsidRDefault="0069428E"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1.077.783,23</w:t>
            </w:r>
          </w:p>
        </w:tc>
      </w:tr>
      <w:tr w:rsidR="00E13F69" w:rsidRPr="005767EF" w14:paraId="78E86A49" w14:textId="77777777" w:rsidTr="0069428E">
        <w:trPr>
          <w:trHeight w:val="27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4282B9B" w14:textId="77777777" w:rsidR="00E13F69" w:rsidRPr="00083935" w:rsidRDefault="00E13F69" w:rsidP="00F75B3A">
            <w:pPr>
              <w:jc w:val="center"/>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41DCCDA" w14:textId="77777777"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Дрвна индустрија Шипово д.о.о. Шипово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487E1F" w14:textId="77777777"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2.200.000,00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1B2435" w14:textId="77777777" w:rsidR="00E13F69" w:rsidRPr="00083935" w:rsidRDefault="00E13F69" w:rsidP="0069428E">
            <w:pPr>
              <w:jc w:val="right"/>
              <w:rPr>
                <w:rFonts w:asciiTheme="minorHAnsi" w:hAnsiTheme="minorHAnsi"/>
                <w:b/>
                <w:sz w:val="18"/>
                <w:szCs w:val="18"/>
                <w:lang w:val="sr-Cyrl-BA" w:eastAsia="sr-Latn-RS"/>
              </w:rPr>
            </w:pPr>
            <w:r w:rsidRPr="00083935">
              <w:rPr>
                <w:rFonts w:asciiTheme="minorHAnsi" w:hAnsiTheme="minorHAnsi"/>
                <w:sz w:val="18"/>
                <w:szCs w:val="18"/>
                <w:lang w:val="sr-Cyrl-BA" w:eastAsia="sr-Latn-RS"/>
              </w:rPr>
              <w:t>660.000,00</w:t>
            </w:r>
          </w:p>
        </w:tc>
        <w:tc>
          <w:tcPr>
            <w:tcW w:w="1559" w:type="dxa"/>
            <w:tcBorders>
              <w:top w:val="single" w:sz="4" w:space="0" w:color="auto"/>
              <w:left w:val="single" w:sz="4" w:space="0" w:color="auto"/>
              <w:bottom w:val="single" w:sz="4" w:space="0" w:color="auto"/>
              <w:right w:val="single" w:sz="4" w:space="0" w:color="auto"/>
            </w:tcBorders>
            <w:vAlign w:val="center"/>
          </w:tcPr>
          <w:p w14:paraId="1A48E0E5" w14:textId="77777777" w:rsidR="00E13F69" w:rsidRPr="00083935" w:rsidRDefault="0069428E"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634.442,53</w:t>
            </w:r>
          </w:p>
        </w:tc>
      </w:tr>
      <w:tr w:rsidR="00E13F69" w:rsidRPr="005767EF" w14:paraId="06EAA581" w14:textId="77777777" w:rsidTr="0069428E">
        <w:trPr>
          <w:trHeight w:val="379"/>
        </w:trPr>
        <w:tc>
          <w:tcPr>
            <w:tcW w:w="4077"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7425C19" w14:textId="77777777" w:rsidR="00E13F69" w:rsidRPr="00083935" w:rsidRDefault="00E13F69" w:rsidP="00F30F98">
            <w:pPr>
              <w:jc w:val="right"/>
              <w:rPr>
                <w:rFonts w:asciiTheme="minorHAnsi" w:hAnsiTheme="minorHAnsi"/>
                <w:sz w:val="18"/>
                <w:szCs w:val="18"/>
                <w:lang w:val="sr-Cyrl-RS" w:eastAsia="sr-Latn-RS"/>
              </w:rPr>
            </w:pPr>
            <w:r w:rsidRPr="00083935">
              <w:rPr>
                <w:rFonts w:asciiTheme="minorHAnsi" w:hAnsiTheme="minorHAnsi"/>
                <w:b/>
                <w:bCs/>
                <w:sz w:val="18"/>
                <w:szCs w:val="18"/>
                <w:lang w:val="sr-Cyrl-RS" w:eastAsia="sr-Latn-RS"/>
              </w:rPr>
              <w:t xml:space="preserve">                               УКУПНО</w:t>
            </w:r>
            <w:r>
              <w:rPr>
                <w:rFonts w:asciiTheme="minorHAnsi" w:hAnsiTheme="minorHAnsi"/>
                <w:b/>
                <w:bCs/>
                <w:sz w:val="18"/>
                <w:szCs w:val="18"/>
                <w:lang w:val="sr-Cyrl-RS" w:eastAsia="sr-Latn-RS"/>
              </w:rPr>
              <w:t xml:space="preserve">   </w:t>
            </w:r>
            <w:r w:rsidRPr="00083935">
              <w:rPr>
                <w:rFonts w:asciiTheme="minorHAnsi" w:hAnsiTheme="minorHAnsi"/>
                <w:b/>
                <w:bCs/>
                <w:sz w:val="18"/>
                <w:szCs w:val="18"/>
                <w:lang w:val="sr-Cyrl-RS" w:eastAsia="sr-Latn-RS"/>
              </w:rPr>
              <w:t xml:space="preserve">                                                     </w:t>
            </w:r>
            <w:r>
              <w:rPr>
                <w:rFonts w:asciiTheme="minorHAnsi" w:hAnsiTheme="minorHAnsi"/>
                <w:b/>
                <w:bCs/>
                <w:sz w:val="18"/>
                <w:szCs w:val="18"/>
                <w:lang w:val="sr-Cyrl-RS" w:eastAsia="sr-Latn-R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7D3DC03" w14:textId="77777777" w:rsidR="00E13F69" w:rsidRPr="00083935" w:rsidRDefault="00E13F69" w:rsidP="00F75B3A">
            <w:pPr>
              <w:ind w:left="-249"/>
              <w:jc w:val="right"/>
              <w:rPr>
                <w:rFonts w:asciiTheme="minorHAnsi" w:hAnsiTheme="minorHAnsi"/>
                <w:b/>
                <w:sz w:val="18"/>
                <w:szCs w:val="18"/>
                <w:lang w:val="sr-Cyrl-BA" w:eastAsia="sr-Latn-RS"/>
              </w:rPr>
            </w:pPr>
            <w:r w:rsidRPr="00083935">
              <w:rPr>
                <w:rFonts w:asciiTheme="minorHAnsi" w:hAnsiTheme="minorHAnsi"/>
                <w:b/>
                <w:sz w:val="18"/>
                <w:szCs w:val="18"/>
                <w:lang w:val="sr-Cyrl-BA" w:eastAsia="sr-Latn-RS"/>
              </w:rPr>
              <w:t>4.200.000,00</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5AC2A05" w14:textId="77777777" w:rsidR="00E13F69" w:rsidRPr="00083935" w:rsidRDefault="00E13F69" w:rsidP="00F75B3A">
            <w:pPr>
              <w:jc w:val="right"/>
              <w:rPr>
                <w:rFonts w:asciiTheme="minorHAnsi" w:hAnsiTheme="minorHAnsi"/>
                <w:b/>
                <w:sz w:val="18"/>
                <w:szCs w:val="18"/>
                <w:lang w:val="sr-Cyrl-BA" w:eastAsia="sr-Latn-RS"/>
              </w:rPr>
            </w:pPr>
            <w:r w:rsidRPr="00083935">
              <w:rPr>
                <w:rFonts w:asciiTheme="minorHAnsi" w:hAnsiTheme="minorHAnsi"/>
                <w:b/>
                <w:sz w:val="18"/>
                <w:szCs w:val="18"/>
                <w:lang w:val="sr-Cyrl-BA" w:eastAsia="sr-Latn-RS"/>
              </w:rPr>
              <w:t>1.860.000,00</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8D4CDDF" w14:textId="77777777" w:rsidR="00E13F69" w:rsidRPr="00083935" w:rsidRDefault="0069428E" w:rsidP="0069428E">
            <w:pPr>
              <w:jc w:val="right"/>
              <w:rPr>
                <w:rFonts w:asciiTheme="minorHAnsi" w:hAnsiTheme="minorHAnsi"/>
                <w:b/>
                <w:sz w:val="18"/>
                <w:szCs w:val="18"/>
                <w:lang w:val="sr-Cyrl-BA" w:eastAsia="sr-Latn-RS"/>
              </w:rPr>
            </w:pPr>
            <w:r>
              <w:rPr>
                <w:rFonts w:asciiTheme="minorHAnsi" w:hAnsiTheme="minorHAnsi"/>
                <w:b/>
                <w:sz w:val="18"/>
                <w:szCs w:val="18"/>
                <w:lang w:val="sr-Cyrl-BA" w:eastAsia="sr-Latn-RS"/>
              </w:rPr>
              <w:t>1.712.225,76</w:t>
            </w:r>
          </w:p>
        </w:tc>
      </w:tr>
    </w:tbl>
    <w:p w14:paraId="72DBEFE5" w14:textId="77777777" w:rsidR="00F30F98" w:rsidRPr="005767EF" w:rsidRDefault="00F30F98" w:rsidP="001538EF">
      <w:pPr>
        <w:rPr>
          <w:rFonts w:asciiTheme="minorHAnsi" w:hAnsiTheme="minorHAnsi"/>
          <w:sz w:val="20"/>
          <w:szCs w:val="20"/>
          <w:lang w:val="sr-Cyrl-BA"/>
        </w:rPr>
      </w:pPr>
    </w:p>
    <w:p w14:paraId="7A8F2092" w14:textId="77777777" w:rsidR="00E037F4" w:rsidRDefault="00E037F4" w:rsidP="001538EF">
      <w:pPr>
        <w:rPr>
          <w:rFonts w:asciiTheme="minorHAnsi" w:hAnsiTheme="minorHAnsi"/>
          <w:sz w:val="20"/>
          <w:szCs w:val="20"/>
          <w:lang w:val="sr-Cyrl-BA"/>
        </w:rPr>
      </w:pPr>
    </w:p>
    <w:p w14:paraId="5FE16EF5" w14:textId="77777777" w:rsidR="00E037F4" w:rsidRDefault="00E85509" w:rsidP="001538EF">
      <w:pPr>
        <w:rPr>
          <w:rFonts w:asciiTheme="minorHAnsi" w:hAnsiTheme="minorHAnsi"/>
          <w:sz w:val="20"/>
          <w:szCs w:val="20"/>
          <w:lang w:val="sr-Cyrl-BA"/>
        </w:rPr>
      </w:pPr>
      <w:r>
        <w:rPr>
          <w:rFonts w:asciiTheme="minorHAnsi" w:hAnsiTheme="minorHAnsi"/>
          <w:sz w:val="20"/>
          <w:szCs w:val="20"/>
          <w:lang w:val="sr-Cyrl-BA"/>
        </w:rPr>
        <w:t>Изложеност Гарантног фонда по основу изданих гаранција на емитоване обвезнице привредних друштава на дан 31.12.2023. године износи 2.453.855,02 КМ.</w:t>
      </w:r>
    </w:p>
    <w:p w14:paraId="666A98D3" w14:textId="77777777" w:rsidR="00E85509" w:rsidRDefault="00E85509" w:rsidP="001538EF">
      <w:pPr>
        <w:rPr>
          <w:rFonts w:asciiTheme="minorHAnsi" w:hAnsiTheme="minorHAnsi"/>
          <w:sz w:val="20"/>
          <w:szCs w:val="20"/>
          <w:lang w:val="sr-Cyrl-BA"/>
        </w:rPr>
      </w:pPr>
    </w:p>
    <w:p w14:paraId="2275BF1B" w14:textId="77777777" w:rsidR="00E85509" w:rsidRDefault="00E85509" w:rsidP="001538EF">
      <w:pPr>
        <w:rPr>
          <w:rFonts w:asciiTheme="minorHAnsi" w:hAnsiTheme="minorHAnsi"/>
          <w:sz w:val="20"/>
          <w:szCs w:val="20"/>
          <w:lang w:val="sr-Cyrl-BA"/>
        </w:rPr>
      </w:pPr>
      <w:r>
        <w:rPr>
          <w:rFonts w:asciiTheme="minorHAnsi" w:hAnsiTheme="minorHAnsi"/>
          <w:sz w:val="20"/>
          <w:szCs w:val="20"/>
          <w:lang w:val="sr-Cyrl-BA"/>
        </w:rPr>
        <w:t xml:space="preserve">Специфичност гаранција на емитоване хартије од вриједности је и у томе што Гарантни фонд гарантује </w:t>
      </w:r>
      <w:r w:rsidR="005C35BE">
        <w:rPr>
          <w:rFonts w:asciiTheme="minorHAnsi" w:hAnsiTheme="minorHAnsi"/>
          <w:sz w:val="20"/>
          <w:szCs w:val="20"/>
          <w:lang w:val="sr-Cyrl-BA"/>
        </w:rPr>
        <w:t xml:space="preserve">за </w:t>
      </w:r>
      <w:r>
        <w:rPr>
          <w:rFonts w:asciiTheme="minorHAnsi" w:hAnsiTheme="minorHAnsi"/>
          <w:sz w:val="20"/>
          <w:szCs w:val="20"/>
          <w:lang w:val="sr-Cyrl-BA"/>
        </w:rPr>
        <w:t>дио главнице сваког доспјелог ануитета</w:t>
      </w:r>
      <w:r w:rsidR="005C35BE">
        <w:rPr>
          <w:rFonts w:asciiTheme="minorHAnsi" w:hAnsiTheme="minorHAnsi"/>
          <w:sz w:val="20"/>
          <w:szCs w:val="20"/>
          <w:lang w:val="sr-Cyrl-BA"/>
        </w:rPr>
        <w:t>. Укупан износ гаранције је једнак збиру појединачних гаранција на сваки мјесечни ануитет</w:t>
      </w:r>
      <w:r>
        <w:rPr>
          <w:rFonts w:asciiTheme="minorHAnsi" w:hAnsiTheme="minorHAnsi"/>
          <w:sz w:val="20"/>
          <w:szCs w:val="20"/>
          <w:lang w:val="sr-Cyrl-BA"/>
        </w:rPr>
        <w:t xml:space="preserve">, </w:t>
      </w:r>
      <w:r w:rsidR="005C35BE">
        <w:rPr>
          <w:rFonts w:asciiTheme="minorHAnsi" w:hAnsiTheme="minorHAnsi"/>
          <w:sz w:val="20"/>
          <w:szCs w:val="20"/>
          <w:lang w:val="sr-Cyrl-BA"/>
        </w:rPr>
        <w:t>те се</w:t>
      </w:r>
      <w:r>
        <w:rPr>
          <w:rFonts w:asciiTheme="minorHAnsi" w:hAnsiTheme="minorHAnsi"/>
          <w:sz w:val="20"/>
          <w:szCs w:val="20"/>
          <w:lang w:val="sr-Cyrl-BA"/>
        </w:rPr>
        <w:t xml:space="preserve"> издаје онолико гаранција колико траје период отплате.</w:t>
      </w:r>
      <w:r w:rsidR="005C35BE">
        <w:rPr>
          <w:rFonts w:asciiTheme="minorHAnsi" w:hAnsiTheme="minorHAnsi"/>
          <w:sz w:val="20"/>
          <w:szCs w:val="20"/>
          <w:lang w:val="sr-Cyrl-BA"/>
        </w:rPr>
        <w:t xml:space="preserve"> Платни агент, у случају неплаћања ануитета од стране емитента, подноси захтјев за плаћање појединачне гаранције која је везана за неплаћени ануитет.</w:t>
      </w:r>
    </w:p>
    <w:p w14:paraId="1A312A3B" w14:textId="77777777" w:rsidR="005C35BE" w:rsidRDefault="005C35BE" w:rsidP="001538EF">
      <w:pPr>
        <w:rPr>
          <w:rFonts w:asciiTheme="minorHAnsi" w:hAnsiTheme="minorHAnsi"/>
          <w:sz w:val="20"/>
          <w:szCs w:val="20"/>
          <w:lang w:val="sr-Cyrl-BA"/>
        </w:rPr>
      </w:pPr>
    </w:p>
    <w:p w14:paraId="6B2DCE7B" w14:textId="77777777" w:rsidR="005C35BE" w:rsidRDefault="005C35BE" w:rsidP="001538EF">
      <w:pPr>
        <w:rPr>
          <w:rFonts w:asciiTheme="minorHAnsi" w:hAnsiTheme="minorHAnsi"/>
          <w:sz w:val="20"/>
          <w:szCs w:val="20"/>
          <w:lang w:val="sr-Cyrl-BA"/>
        </w:rPr>
      </w:pPr>
      <w:r>
        <w:rPr>
          <w:rFonts w:asciiTheme="minorHAnsi" w:hAnsiTheme="minorHAnsi"/>
          <w:sz w:val="20"/>
          <w:szCs w:val="20"/>
          <w:lang w:val="sr-Cyrl-BA"/>
        </w:rPr>
        <w:t>Током 20</w:t>
      </w:r>
      <w:r w:rsidR="00FF73BD">
        <w:rPr>
          <w:rFonts w:asciiTheme="minorHAnsi" w:hAnsiTheme="minorHAnsi"/>
          <w:sz w:val="20"/>
          <w:szCs w:val="20"/>
          <w:lang w:val="sr-Cyrl-BA"/>
        </w:rPr>
        <w:t>23. године, извршен је протест 3</w:t>
      </w:r>
      <w:r>
        <w:rPr>
          <w:rFonts w:asciiTheme="minorHAnsi" w:hAnsiTheme="minorHAnsi"/>
          <w:sz w:val="20"/>
          <w:szCs w:val="20"/>
          <w:lang w:val="sr-Cyrl-BA"/>
        </w:rPr>
        <w:t xml:space="preserve"> појединачне гаранције на емитоване обвезнице клијента Интерлигнум д.о.о. Теслић у укупном износу од  53.165,95 КМ.</w:t>
      </w:r>
    </w:p>
    <w:p w14:paraId="57573599" w14:textId="77777777" w:rsidR="00E037F4" w:rsidRDefault="00E037F4" w:rsidP="001538EF">
      <w:pPr>
        <w:rPr>
          <w:rFonts w:asciiTheme="minorHAnsi" w:hAnsiTheme="minorHAnsi"/>
          <w:sz w:val="20"/>
          <w:szCs w:val="20"/>
          <w:lang w:val="sr-Cyrl-BA"/>
        </w:rPr>
      </w:pPr>
    </w:p>
    <w:p w14:paraId="47B02498" w14:textId="77777777" w:rsidR="00E037F4" w:rsidRDefault="00E037F4" w:rsidP="001538EF">
      <w:pPr>
        <w:rPr>
          <w:rFonts w:asciiTheme="minorHAnsi" w:hAnsiTheme="minorHAnsi"/>
          <w:sz w:val="20"/>
          <w:szCs w:val="20"/>
          <w:lang w:val="sr-Cyrl-BA"/>
        </w:rPr>
      </w:pPr>
    </w:p>
    <w:p w14:paraId="4B78B848" w14:textId="77777777" w:rsidR="00E037F4" w:rsidRDefault="00E037F4" w:rsidP="001538EF">
      <w:pPr>
        <w:rPr>
          <w:rFonts w:asciiTheme="minorHAnsi" w:hAnsiTheme="minorHAnsi"/>
          <w:sz w:val="20"/>
          <w:szCs w:val="20"/>
          <w:lang w:val="sr-Cyrl-BA"/>
        </w:rPr>
      </w:pPr>
    </w:p>
    <w:p w14:paraId="71426C8F" w14:textId="77777777" w:rsidR="00E037F4" w:rsidRDefault="00E037F4" w:rsidP="001538EF">
      <w:pPr>
        <w:rPr>
          <w:rFonts w:asciiTheme="minorHAnsi" w:hAnsiTheme="minorHAnsi"/>
          <w:sz w:val="20"/>
          <w:szCs w:val="20"/>
          <w:lang w:val="sr-Cyrl-BA"/>
        </w:rPr>
      </w:pPr>
    </w:p>
    <w:p w14:paraId="1C4B91F4" w14:textId="77777777" w:rsidR="00E037F4" w:rsidRDefault="00E037F4" w:rsidP="001538EF">
      <w:pPr>
        <w:rPr>
          <w:rFonts w:asciiTheme="minorHAnsi" w:hAnsiTheme="minorHAnsi"/>
          <w:sz w:val="20"/>
          <w:szCs w:val="20"/>
          <w:lang w:val="sr-Cyrl-BA"/>
        </w:rPr>
      </w:pPr>
    </w:p>
    <w:p w14:paraId="1A2AF59D" w14:textId="77777777" w:rsidR="00E037F4" w:rsidRDefault="00E037F4" w:rsidP="001538EF">
      <w:pPr>
        <w:rPr>
          <w:rFonts w:asciiTheme="minorHAnsi" w:hAnsiTheme="minorHAnsi"/>
          <w:sz w:val="20"/>
          <w:szCs w:val="20"/>
          <w:lang w:val="sr-Cyrl-BA"/>
        </w:rPr>
      </w:pPr>
    </w:p>
    <w:p w14:paraId="7D1D55CF" w14:textId="77777777" w:rsidR="00E037F4" w:rsidRDefault="00E037F4" w:rsidP="001538EF">
      <w:pPr>
        <w:rPr>
          <w:rFonts w:asciiTheme="minorHAnsi" w:hAnsiTheme="minorHAnsi"/>
          <w:sz w:val="20"/>
          <w:szCs w:val="20"/>
          <w:lang w:val="sr-Cyrl-BA"/>
        </w:rPr>
      </w:pPr>
    </w:p>
    <w:p w14:paraId="6971D4DE" w14:textId="77777777" w:rsidR="00545FA4" w:rsidRDefault="00545FA4" w:rsidP="001538EF">
      <w:pPr>
        <w:rPr>
          <w:rFonts w:asciiTheme="minorHAnsi" w:hAnsiTheme="minorHAnsi"/>
          <w:sz w:val="20"/>
          <w:szCs w:val="20"/>
          <w:lang w:val="sr-Cyrl-BA"/>
        </w:rPr>
      </w:pPr>
    </w:p>
    <w:p w14:paraId="4F002D6D" w14:textId="77777777" w:rsidR="00E037F4" w:rsidRPr="005767EF" w:rsidRDefault="00E037F4" w:rsidP="001538EF">
      <w:pPr>
        <w:rPr>
          <w:rFonts w:asciiTheme="minorHAnsi" w:hAnsiTheme="minorHAnsi"/>
          <w:sz w:val="20"/>
          <w:szCs w:val="20"/>
          <w:lang w:val="sr-Cyrl-BA"/>
        </w:rPr>
      </w:pPr>
    </w:p>
    <w:p w14:paraId="54DB9433" w14:textId="77777777" w:rsidR="00A944C8" w:rsidRPr="005767EF" w:rsidRDefault="00A944C8" w:rsidP="00A944C8">
      <w:pPr>
        <w:autoSpaceDE w:val="0"/>
        <w:autoSpaceDN w:val="0"/>
        <w:adjustRightInd w:val="0"/>
        <w:rPr>
          <w:rFonts w:asciiTheme="minorHAnsi" w:eastAsiaTheme="minorHAnsi" w:hAnsiTheme="minorHAnsi"/>
          <w:b/>
          <w:color w:val="auto"/>
          <w:sz w:val="20"/>
          <w:szCs w:val="20"/>
          <w:lang w:val="sr-Cyrl-BA" w:eastAsia="en-US"/>
        </w:rPr>
      </w:pPr>
    </w:p>
    <w:p w14:paraId="06D14E0F" w14:textId="1FAECB3C" w:rsidR="00A944C8" w:rsidRPr="00A944C8" w:rsidRDefault="006A433D" w:rsidP="00A944C8">
      <w:pPr>
        <w:pStyle w:val="Heading2"/>
        <w:numPr>
          <w:ilvl w:val="0"/>
          <w:numId w:val="0"/>
        </w:numPr>
        <w:rPr>
          <w:rFonts w:asciiTheme="minorHAnsi" w:hAnsiTheme="minorHAnsi"/>
          <w:color w:val="FF0000"/>
          <w:szCs w:val="20"/>
          <w:lang w:val="sr-Cyrl-RS"/>
        </w:rPr>
      </w:pPr>
      <w:bookmarkStart w:id="9" w:name="_Toc135292171"/>
      <w:r>
        <w:rPr>
          <w:rFonts w:asciiTheme="minorHAnsi" w:hAnsiTheme="minorHAnsi"/>
          <w:szCs w:val="20"/>
          <w:lang w:val="sr-Cyrl-RS"/>
        </w:rPr>
        <w:t>2.4</w:t>
      </w:r>
      <w:r w:rsidR="00A944C8" w:rsidRPr="00A944C8">
        <w:rPr>
          <w:rFonts w:asciiTheme="minorHAnsi" w:hAnsiTheme="minorHAnsi"/>
          <w:szCs w:val="20"/>
          <w:lang w:val="sr-Cyrl-RS"/>
        </w:rPr>
        <w:t xml:space="preserve">. </w:t>
      </w:r>
      <w:r w:rsidR="00BC5934">
        <w:rPr>
          <w:rFonts w:asciiTheme="minorHAnsi" w:hAnsiTheme="minorHAnsi"/>
          <w:szCs w:val="20"/>
        </w:rPr>
        <w:t>АНАЛИЗА</w:t>
      </w:r>
      <w:r w:rsidR="00BC5934">
        <w:rPr>
          <w:rFonts w:asciiTheme="minorHAnsi" w:hAnsiTheme="minorHAnsi"/>
          <w:szCs w:val="20"/>
          <w:lang w:val="sr-Cyrl-RS"/>
        </w:rPr>
        <w:t xml:space="preserve"> </w:t>
      </w:r>
      <w:r w:rsidR="00A944C8" w:rsidRPr="00A944C8">
        <w:rPr>
          <w:rFonts w:asciiTheme="minorHAnsi" w:hAnsiTheme="minorHAnsi"/>
          <w:szCs w:val="20"/>
        </w:rPr>
        <w:t>ИЗЛОЖЕНОСТИ ГАРАНТНОГ ФОНДА РЕПУБЛИКЕ СРПСКЕ ПРЕМА ФИНАНСИЈСКИМ ПОСРЕДНИЦИМА НА ДАН 31.12.202</w:t>
      </w:r>
      <w:r w:rsidR="00A944C8" w:rsidRPr="00A944C8">
        <w:rPr>
          <w:rFonts w:asciiTheme="minorHAnsi" w:hAnsiTheme="minorHAnsi"/>
          <w:szCs w:val="20"/>
          <w:lang w:val="sr-Cyrl-RS"/>
        </w:rPr>
        <w:t>3</w:t>
      </w:r>
      <w:r w:rsidR="00A944C8" w:rsidRPr="00A944C8">
        <w:rPr>
          <w:rFonts w:asciiTheme="minorHAnsi" w:hAnsiTheme="minorHAnsi"/>
          <w:szCs w:val="20"/>
        </w:rPr>
        <w:t>.</w:t>
      </w:r>
      <w:bookmarkEnd w:id="9"/>
      <w:r w:rsidR="00A944C8" w:rsidRPr="00A944C8">
        <w:rPr>
          <w:rFonts w:asciiTheme="minorHAnsi" w:hAnsiTheme="minorHAnsi"/>
          <w:szCs w:val="20"/>
          <w:lang w:val="sr-Cyrl-RS"/>
        </w:rPr>
        <w:t xml:space="preserve"> ГОДИНЕ</w:t>
      </w:r>
    </w:p>
    <w:p w14:paraId="26AC4DA6" w14:textId="77777777" w:rsidR="00A944C8" w:rsidRDefault="00A944C8" w:rsidP="00CF5C14">
      <w:pPr>
        <w:autoSpaceDE w:val="0"/>
        <w:autoSpaceDN w:val="0"/>
        <w:adjustRightInd w:val="0"/>
        <w:jc w:val="left"/>
        <w:rPr>
          <w:rFonts w:asciiTheme="minorHAnsi" w:eastAsiaTheme="minorHAnsi" w:hAnsiTheme="minorHAnsi"/>
          <w:b/>
          <w:color w:val="auto"/>
          <w:sz w:val="20"/>
          <w:szCs w:val="20"/>
          <w:lang w:val="sr-Cyrl-BA" w:eastAsia="en-US"/>
        </w:rPr>
      </w:pPr>
    </w:p>
    <w:p w14:paraId="3B2B959F" w14:textId="77777777" w:rsidR="00CF5C14" w:rsidRDefault="00CF5C14" w:rsidP="00CF5C14">
      <w:pPr>
        <w:autoSpaceDE w:val="0"/>
        <w:autoSpaceDN w:val="0"/>
        <w:adjustRightInd w:val="0"/>
        <w:rPr>
          <w:rFonts w:asciiTheme="minorHAnsi" w:eastAsiaTheme="minorHAnsi" w:hAnsiTheme="minorHAnsi"/>
          <w:color w:val="auto"/>
          <w:sz w:val="20"/>
          <w:szCs w:val="20"/>
          <w:lang w:val="sr-Cyrl-BA" w:eastAsia="en-US"/>
        </w:rPr>
      </w:pPr>
      <w:r w:rsidRPr="00CF5C14">
        <w:rPr>
          <w:rFonts w:asciiTheme="minorHAnsi" w:eastAsiaTheme="minorHAnsi" w:hAnsiTheme="minorHAnsi"/>
          <w:color w:val="auto"/>
          <w:sz w:val="20"/>
          <w:szCs w:val="20"/>
          <w:lang w:val="sr-Cyrl-BA" w:eastAsia="en-US"/>
        </w:rPr>
        <w:t xml:space="preserve">Изложеност Гарантног фонда Републике Српске према финансијским посредницима на дан 31.12.2023. године је потенцијална обавеза коју Фонд има према банкама, односно другим финансијским </w:t>
      </w:r>
      <w:r w:rsidR="009051D2">
        <w:rPr>
          <w:rFonts w:asciiTheme="minorHAnsi" w:eastAsiaTheme="minorHAnsi" w:hAnsiTheme="minorHAnsi"/>
          <w:color w:val="auto"/>
          <w:sz w:val="20"/>
          <w:szCs w:val="20"/>
          <w:lang w:val="sr-Cyrl-BA" w:eastAsia="en-US"/>
        </w:rPr>
        <w:t>организацијама</w:t>
      </w:r>
      <w:r w:rsidRPr="00CF5C14">
        <w:rPr>
          <w:rFonts w:asciiTheme="minorHAnsi" w:eastAsiaTheme="minorHAnsi" w:hAnsiTheme="minorHAnsi"/>
          <w:color w:val="auto"/>
          <w:sz w:val="20"/>
          <w:szCs w:val="20"/>
          <w:lang w:val="sr-Cyrl-BA" w:eastAsia="en-US"/>
        </w:rPr>
        <w:t xml:space="preserve"> по основу изданих гаранција. Фонд је према финансијским посредницима изложен по 3 основа: по основу појединачних гаранција на кредите, по основу гаранција на емитоване хартије од вриједности и по основу гаранција на кредитни портфолио.</w:t>
      </w:r>
    </w:p>
    <w:p w14:paraId="1217D712" w14:textId="77777777" w:rsidR="009051D2" w:rsidRDefault="009051D2" w:rsidP="00CF5C14">
      <w:pPr>
        <w:autoSpaceDE w:val="0"/>
        <w:autoSpaceDN w:val="0"/>
        <w:adjustRightInd w:val="0"/>
        <w:rPr>
          <w:rFonts w:asciiTheme="minorHAnsi" w:eastAsiaTheme="minorHAnsi" w:hAnsiTheme="minorHAnsi"/>
          <w:color w:val="auto"/>
          <w:sz w:val="20"/>
          <w:szCs w:val="20"/>
          <w:lang w:val="sr-Cyrl-BA" w:eastAsia="en-US"/>
        </w:rPr>
      </w:pPr>
    </w:p>
    <w:p w14:paraId="37A28D01" w14:textId="77777777" w:rsidR="009051D2" w:rsidRDefault="009051D2" w:rsidP="00CF5C14">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val="sr-Cyrl-BA" w:eastAsia="en-US"/>
        </w:rPr>
        <w:t xml:space="preserve">Према одредбама члана 14 став 3 Закона о Гарантном фонду Републике Српске („Службени гласник Републике Српске“, број 50/10), укупан износ гарантованих обавеза према једној банци или финансијској организацији не може бити већи од 30% гарантног потенцијала Фонда. Гарантни потенцијал Фонда </w:t>
      </w:r>
      <w:r>
        <w:rPr>
          <w:rFonts w:asciiTheme="minorHAnsi" w:eastAsiaTheme="minorHAnsi" w:hAnsiTheme="minorHAnsi"/>
          <w:color w:val="auto"/>
          <w:sz w:val="20"/>
          <w:szCs w:val="20"/>
          <w:lang w:val="sr-Cyrl-BA" w:eastAsia="en-US"/>
        </w:rPr>
        <w:t>је једнак трострукој вриједности основног капитала и износи</w:t>
      </w:r>
      <w:r w:rsidRPr="009051D2">
        <w:rPr>
          <w:rFonts w:asciiTheme="minorHAnsi" w:eastAsiaTheme="minorHAnsi" w:hAnsiTheme="minorHAnsi"/>
          <w:color w:val="auto"/>
          <w:sz w:val="20"/>
          <w:szCs w:val="20"/>
          <w:lang w:val="sr-Cyrl-BA" w:eastAsia="en-US"/>
        </w:rPr>
        <w:t xml:space="preserve"> 90.000.000,00 КМ, што је такође утврђено Законом. Дакле, максимална изложеност према једном финансијском посреднику износи 27.000.000,00 КМ. Последња колона у табели 16 приказује стопу изложености према сваком финансијском посреднику. Највећа је изложеност према Прокредит банци и она на дан 31.12.2023. године износи 9.013.607,80 КМ, што представља трећину (33,38%) максимално дозвољене изложености према једном финансијском посреднику.</w:t>
      </w:r>
    </w:p>
    <w:p w14:paraId="7208336E" w14:textId="77777777" w:rsidR="00CF5C14" w:rsidRPr="00CF5C14" w:rsidRDefault="00CF5C14" w:rsidP="00CF5C14">
      <w:pPr>
        <w:autoSpaceDE w:val="0"/>
        <w:autoSpaceDN w:val="0"/>
        <w:adjustRightInd w:val="0"/>
        <w:rPr>
          <w:rFonts w:asciiTheme="minorHAnsi" w:eastAsiaTheme="minorHAnsi" w:hAnsiTheme="minorHAnsi"/>
          <w:color w:val="auto"/>
          <w:sz w:val="20"/>
          <w:szCs w:val="20"/>
          <w:lang w:val="sr-Cyrl-BA" w:eastAsia="en-US"/>
        </w:rPr>
      </w:pPr>
    </w:p>
    <w:p w14:paraId="3FA9FB85" w14:textId="77777777" w:rsidR="009051D2" w:rsidRDefault="00A944C8" w:rsidP="00CF5C14">
      <w:pPr>
        <w:autoSpaceDE w:val="0"/>
        <w:autoSpaceDN w:val="0"/>
        <w:adjustRightInd w:val="0"/>
        <w:ind w:left="720"/>
        <w:jc w:val="center"/>
        <w:rPr>
          <w:rFonts w:asciiTheme="minorHAnsi" w:eastAsiaTheme="minorHAnsi" w:hAnsiTheme="minorHAnsi"/>
          <w:b/>
          <w:color w:val="auto"/>
          <w:sz w:val="20"/>
          <w:szCs w:val="20"/>
          <w:lang w:val="sr-Cyrl-BA" w:eastAsia="en-US"/>
        </w:rPr>
      </w:pPr>
      <w:r w:rsidRPr="00FF73BD">
        <w:rPr>
          <w:rFonts w:asciiTheme="minorHAnsi" w:eastAsiaTheme="minorHAnsi" w:hAnsiTheme="minorHAnsi"/>
          <w:b/>
          <w:color w:val="auto"/>
          <w:sz w:val="20"/>
          <w:szCs w:val="20"/>
          <w:lang w:val="sr-Cyrl-BA" w:eastAsia="en-US"/>
        </w:rPr>
        <w:t>Преглед  изложености Гарантног фонда Републике Српске  према финансијски</w:t>
      </w:r>
      <w:r w:rsidR="00FF73BD" w:rsidRPr="00FF73BD">
        <w:rPr>
          <w:rFonts w:asciiTheme="minorHAnsi" w:eastAsiaTheme="minorHAnsi" w:hAnsiTheme="minorHAnsi"/>
          <w:b/>
          <w:color w:val="auto"/>
          <w:sz w:val="20"/>
          <w:szCs w:val="20"/>
          <w:lang w:val="sr-Cyrl-BA" w:eastAsia="en-US"/>
        </w:rPr>
        <w:t>м посредницима на дан 31.12.2023</w:t>
      </w:r>
      <w:r w:rsidRPr="00FF73BD">
        <w:rPr>
          <w:rFonts w:asciiTheme="minorHAnsi" w:eastAsiaTheme="minorHAnsi" w:hAnsiTheme="minorHAnsi"/>
          <w:b/>
          <w:color w:val="auto"/>
          <w:sz w:val="20"/>
          <w:szCs w:val="20"/>
          <w:lang w:val="sr-Cyrl-BA" w:eastAsia="en-US"/>
        </w:rPr>
        <w:t>.</w:t>
      </w:r>
      <w:r w:rsidR="00FF73BD" w:rsidRPr="00FF73BD">
        <w:rPr>
          <w:rFonts w:asciiTheme="minorHAnsi" w:eastAsiaTheme="minorHAnsi" w:hAnsiTheme="minorHAnsi"/>
          <w:b/>
          <w:color w:val="auto"/>
          <w:sz w:val="20"/>
          <w:szCs w:val="20"/>
          <w:lang w:val="sr-Cyrl-BA" w:eastAsia="en-US"/>
        </w:rPr>
        <w:t xml:space="preserve"> године</w:t>
      </w:r>
    </w:p>
    <w:p w14:paraId="77230131" w14:textId="77777777" w:rsidR="00A944C8" w:rsidRPr="00FF73BD" w:rsidRDefault="00A944C8" w:rsidP="00CF5C14">
      <w:pPr>
        <w:autoSpaceDE w:val="0"/>
        <w:autoSpaceDN w:val="0"/>
        <w:adjustRightInd w:val="0"/>
        <w:ind w:left="720"/>
        <w:jc w:val="center"/>
        <w:rPr>
          <w:rFonts w:asciiTheme="minorHAnsi" w:eastAsiaTheme="minorHAnsi" w:hAnsiTheme="minorHAnsi"/>
          <w:color w:val="auto"/>
          <w:sz w:val="20"/>
          <w:szCs w:val="20"/>
          <w:lang w:val="sr-Cyrl-BA" w:eastAsia="en-US"/>
        </w:rPr>
      </w:pPr>
      <w:r w:rsidRPr="00FF73BD">
        <w:rPr>
          <w:rFonts w:asciiTheme="minorHAnsi" w:eastAsiaTheme="minorHAnsi" w:hAnsiTheme="minorHAnsi"/>
          <w:color w:val="auto"/>
          <w:sz w:val="20"/>
          <w:szCs w:val="20"/>
          <w:lang w:val="sr-Cyrl-BA" w:eastAsia="en-US"/>
        </w:rPr>
        <w:tab/>
        <w:t xml:space="preserve">                 </w:t>
      </w:r>
    </w:p>
    <w:tbl>
      <w:tblPr>
        <w:tblW w:w="8804" w:type="dxa"/>
        <w:tblInd w:w="93" w:type="dxa"/>
        <w:tblLayout w:type="fixed"/>
        <w:tblLook w:val="04A0" w:firstRow="1" w:lastRow="0" w:firstColumn="1" w:lastColumn="0" w:noHBand="0" w:noVBand="1"/>
      </w:tblPr>
      <w:tblGrid>
        <w:gridCol w:w="14"/>
        <w:gridCol w:w="1844"/>
        <w:gridCol w:w="851"/>
        <w:gridCol w:w="1275"/>
        <w:gridCol w:w="709"/>
        <w:gridCol w:w="567"/>
        <w:gridCol w:w="1276"/>
        <w:gridCol w:w="1134"/>
        <w:gridCol w:w="1134"/>
      </w:tblGrid>
      <w:tr w:rsidR="00572EC5" w:rsidRPr="00CA6C43" w14:paraId="2681E9CD" w14:textId="77777777" w:rsidTr="00E356BB">
        <w:trPr>
          <w:gridBefore w:val="1"/>
          <w:wBefore w:w="14" w:type="dxa"/>
          <w:trHeight w:val="465"/>
        </w:trPr>
        <w:tc>
          <w:tcPr>
            <w:tcW w:w="1844" w:type="dxa"/>
            <w:tcBorders>
              <w:top w:val="nil"/>
              <w:left w:val="nil"/>
              <w:bottom w:val="nil"/>
              <w:right w:val="nil"/>
            </w:tcBorders>
            <w:shd w:val="clear" w:color="000000" w:fill="FFFFFF"/>
          </w:tcPr>
          <w:p w14:paraId="14F1B9E0" w14:textId="77777777" w:rsidR="00572EC5" w:rsidRPr="00CA6C43" w:rsidRDefault="00572EC5" w:rsidP="00091285">
            <w:pPr>
              <w:rPr>
                <w:rFonts w:asciiTheme="minorHAnsi" w:hAnsiTheme="minorHAnsi"/>
                <w:b/>
                <w:bCs/>
                <w:color w:val="FF0000"/>
                <w:sz w:val="18"/>
                <w:szCs w:val="18"/>
                <w:lang w:val="sr-Cyrl-BA" w:eastAsia="sr-Latn-RS"/>
              </w:rPr>
            </w:pPr>
          </w:p>
        </w:tc>
        <w:tc>
          <w:tcPr>
            <w:tcW w:w="2835" w:type="dxa"/>
            <w:gridSpan w:val="3"/>
            <w:tcBorders>
              <w:top w:val="nil"/>
              <w:left w:val="nil"/>
              <w:bottom w:val="nil"/>
              <w:right w:val="nil"/>
            </w:tcBorders>
            <w:shd w:val="clear" w:color="000000" w:fill="FFFFFF"/>
          </w:tcPr>
          <w:p w14:paraId="187490A2" w14:textId="77777777" w:rsidR="00572EC5" w:rsidRPr="00CA6C43" w:rsidRDefault="00572EC5" w:rsidP="00091285">
            <w:pPr>
              <w:rPr>
                <w:rFonts w:asciiTheme="minorHAnsi" w:hAnsiTheme="minorHAnsi"/>
                <w:b/>
                <w:bCs/>
                <w:color w:val="FF0000"/>
                <w:sz w:val="18"/>
                <w:szCs w:val="18"/>
                <w:lang w:val="sr-Cyrl-BA" w:eastAsia="sr-Latn-RS"/>
              </w:rPr>
            </w:pPr>
          </w:p>
        </w:tc>
        <w:tc>
          <w:tcPr>
            <w:tcW w:w="4111" w:type="dxa"/>
            <w:gridSpan w:val="4"/>
            <w:tcBorders>
              <w:top w:val="nil"/>
              <w:left w:val="nil"/>
              <w:bottom w:val="nil"/>
              <w:right w:val="nil"/>
            </w:tcBorders>
            <w:shd w:val="clear" w:color="000000" w:fill="FFFFFF"/>
          </w:tcPr>
          <w:p w14:paraId="4ADD4A8D" w14:textId="77777777" w:rsidR="00572EC5" w:rsidRDefault="00572EC5" w:rsidP="00091285">
            <w:pPr>
              <w:jc w:val="center"/>
              <w:rPr>
                <w:rFonts w:asciiTheme="minorHAnsi" w:eastAsiaTheme="minorHAnsi" w:hAnsiTheme="minorHAnsi"/>
                <w:b/>
                <w:color w:val="auto"/>
                <w:sz w:val="18"/>
                <w:szCs w:val="18"/>
                <w:lang w:val="sr-Cyrl-BA" w:eastAsia="en-US"/>
              </w:rPr>
            </w:pPr>
            <w:r>
              <w:rPr>
                <w:rFonts w:asciiTheme="minorHAnsi" w:eastAsiaTheme="minorHAnsi" w:hAnsiTheme="minorHAnsi"/>
                <w:b/>
                <w:color w:val="auto"/>
                <w:sz w:val="18"/>
                <w:szCs w:val="18"/>
                <w:lang w:val="sr-Cyrl-BA" w:eastAsia="en-US"/>
              </w:rPr>
              <w:t xml:space="preserve">                                                                          </w:t>
            </w:r>
            <w:r w:rsidRPr="00CA6C43">
              <w:rPr>
                <w:rFonts w:asciiTheme="minorHAnsi" w:eastAsiaTheme="minorHAnsi" w:hAnsiTheme="minorHAnsi"/>
                <w:b/>
                <w:color w:val="auto"/>
                <w:sz w:val="18"/>
                <w:szCs w:val="18"/>
                <w:lang w:val="sr-Cyrl-BA" w:eastAsia="en-US"/>
              </w:rPr>
              <w:t>Табела 16</w:t>
            </w:r>
          </w:p>
        </w:tc>
      </w:tr>
      <w:tr w:rsidR="00E356BB" w:rsidRPr="00E356BB" w14:paraId="0CD0B50E" w14:textId="77777777" w:rsidTr="009051D2">
        <w:trPr>
          <w:trHeight w:val="1335"/>
        </w:trPr>
        <w:tc>
          <w:tcPr>
            <w:tcW w:w="2709" w:type="dxa"/>
            <w:gridSpan w:val="3"/>
            <w:vMerge w:val="restart"/>
            <w:tcBorders>
              <w:top w:val="nil"/>
              <w:left w:val="single" w:sz="8" w:space="0" w:color="auto"/>
              <w:bottom w:val="single" w:sz="8" w:space="0" w:color="000000"/>
              <w:right w:val="single" w:sz="8" w:space="0" w:color="000000"/>
            </w:tcBorders>
            <w:shd w:val="clear" w:color="000000" w:fill="8DB4E2"/>
            <w:vAlign w:val="center"/>
            <w:hideMark/>
          </w:tcPr>
          <w:p w14:paraId="60F32A7F"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lang w:val="sr-Cyrl-BA"/>
              </w:rPr>
              <w:t xml:space="preserve">   Финансијски посредник</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6BB23FD9" w14:textId="77777777" w:rsidR="00E356BB" w:rsidRPr="00E356BB" w:rsidRDefault="00E356BB" w:rsidP="009051D2">
            <w:pPr>
              <w:ind w:right="-108"/>
              <w:jc w:val="center"/>
              <w:rPr>
                <w:rFonts w:ascii="Calibri" w:hAnsi="Calibri"/>
                <w:b/>
                <w:bCs/>
                <w:color w:val="auto"/>
                <w:sz w:val="16"/>
                <w:szCs w:val="16"/>
              </w:rPr>
            </w:pPr>
            <w:r w:rsidRPr="00E356BB">
              <w:rPr>
                <w:rFonts w:ascii="Calibri" w:hAnsi="Calibri"/>
                <w:b/>
                <w:bCs/>
                <w:color w:val="auto"/>
                <w:sz w:val="16"/>
                <w:szCs w:val="16"/>
                <w:lang w:val="sr-Cyrl-BA"/>
              </w:rPr>
              <w:t>Стање појединачних гаранција на дан 31.12.2023.</w:t>
            </w:r>
          </w:p>
        </w:tc>
        <w:tc>
          <w:tcPr>
            <w:tcW w:w="1276" w:type="dxa"/>
            <w:gridSpan w:val="2"/>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30484F62"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lang w:val="sr-Cyrl-BA"/>
              </w:rPr>
              <w:t>Стање гаранција из кредитног портфолија на дан 31.12.2023.</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611A3DA3"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lang w:val="sr-Cyrl-BA"/>
              </w:rPr>
              <w:t>Стање гаранција на хартије од вриједности на дан 31.12.2023. године</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46BB8AA7" w14:textId="77777777" w:rsidR="00E356BB" w:rsidRPr="00E356BB" w:rsidRDefault="00E356BB" w:rsidP="00B563CF">
            <w:pPr>
              <w:ind w:right="-108"/>
              <w:jc w:val="center"/>
              <w:rPr>
                <w:rFonts w:ascii="Calibri" w:hAnsi="Calibri"/>
                <w:b/>
                <w:bCs/>
                <w:color w:val="auto"/>
                <w:sz w:val="16"/>
                <w:szCs w:val="16"/>
              </w:rPr>
            </w:pPr>
            <w:r w:rsidRPr="00E356BB">
              <w:rPr>
                <w:rFonts w:ascii="Calibri" w:hAnsi="Calibri"/>
                <w:b/>
                <w:bCs/>
                <w:color w:val="auto"/>
                <w:sz w:val="16"/>
                <w:szCs w:val="16"/>
                <w:lang w:val="sr-Cyrl-BA"/>
              </w:rPr>
              <w:t xml:space="preserve">Укупна изложеност према финансијском посреднику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23C30CD9"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lang w:val="sr-Cyrl-BA"/>
              </w:rPr>
              <w:t>Стопа изложености у односу на максимално дозвољену изложеност (30% гарантног потенцијала)</w:t>
            </w:r>
          </w:p>
        </w:tc>
      </w:tr>
      <w:tr w:rsidR="00E356BB" w:rsidRPr="00E356BB" w14:paraId="3515C827" w14:textId="77777777" w:rsidTr="009051D2">
        <w:trPr>
          <w:trHeight w:val="517"/>
        </w:trPr>
        <w:tc>
          <w:tcPr>
            <w:tcW w:w="2709" w:type="dxa"/>
            <w:gridSpan w:val="3"/>
            <w:vMerge/>
            <w:tcBorders>
              <w:top w:val="nil"/>
              <w:left w:val="single" w:sz="8" w:space="0" w:color="auto"/>
              <w:bottom w:val="single" w:sz="8" w:space="0" w:color="000000"/>
              <w:right w:val="single" w:sz="8" w:space="0" w:color="000000"/>
            </w:tcBorders>
            <w:vAlign w:val="center"/>
            <w:hideMark/>
          </w:tcPr>
          <w:p w14:paraId="3DBE93DB" w14:textId="77777777" w:rsidR="00E356BB" w:rsidRPr="00E356BB" w:rsidRDefault="00E356BB" w:rsidP="00E356BB">
            <w:pPr>
              <w:jc w:val="left"/>
              <w:rPr>
                <w:rFonts w:ascii="Calibri" w:hAnsi="Calibri"/>
                <w:b/>
                <w:bCs/>
                <w:color w:val="auto"/>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533B141F" w14:textId="77777777" w:rsidR="00E356BB" w:rsidRPr="00E356BB" w:rsidRDefault="00E356BB" w:rsidP="00E356BB">
            <w:pPr>
              <w:jc w:val="left"/>
              <w:rPr>
                <w:rFonts w:ascii="Calibri" w:hAnsi="Calibri"/>
                <w:b/>
                <w:bCs/>
                <w:color w:val="auto"/>
                <w:sz w:val="16"/>
                <w:szCs w:val="16"/>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14:paraId="1C7FC1C1" w14:textId="77777777" w:rsidR="00E356BB" w:rsidRPr="00E356BB" w:rsidRDefault="00E356BB" w:rsidP="00E356BB">
            <w:pPr>
              <w:jc w:val="left"/>
              <w:rPr>
                <w:rFonts w:ascii="Calibri" w:hAnsi="Calibri"/>
                <w:b/>
                <w:bCs/>
                <w:color w:val="auto"/>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C38D071"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AA17C41"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028B78A" w14:textId="77777777" w:rsidR="00E356BB" w:rsidRPr="00E356BB" w:rsidRDefault="00E356BB" w:rsidP="00E356BB">
            <w:pPr>
              <w:jc w:val="left"/>
              <w:rPr>
                <w:rFonts w:ascii="Calibri" w:hAnsi="Calibri"/>
                <w:b/>
                <w:bCs/>
                <w:color w:val="auto"/>
                <w:sz w:val="16"/>
                <w:szCs w:val="16"/>
              </w:rPr>
            </w:pPr>
          </w:p>
        </w:tc>
      </w:tr>
      <w:tr w:rsidR="00E356BB" w:rsidRPr="00E356BB" w14:paraId="7ECA303B" w14:textId="77777777" w:rsidTr="009051D2">
        <w:trPr>
          <w:trHeight w:val="517"/>
        </w:trPr>
        <w:tc>
          <w:tcPr>
            <w:tcW w:w="2709" w:type="dxa"/>
            <w:gridSpan w:val="3"/>
            <w:vMerge/>
            <w:tcBorders>
              <w:top w:val="nil"/>
              <w:left w:val="single" w:sz="8" w:space="0" w:color="auto"/>
              <w:bottom w:val="single" w:sz="8" w:space="0" w:color="000000"/>
              <w:right w:val="single" w:sz="8" w:space="0" w:color="000000"/>
            </w:tcBorders>
            <w:vAlign w:val="center"/>
            <w:hideMark/>
          </w:tcPr>
          <w:p w14:paraId="1FAC61A7" w14:textId="77777777" w:rsidR="00E356BB" w:rsidRPr="00E356BB" w:rsidRDefault="00E356BB" w:rsidP="00E356BB">
            <w:pPr>
              <w:jc w:val="left"/>
              <w:rPr>
                <w:rFonts w:ascii="Calibri" w:hAnsi="Calibri"/>
                <w:b/>
                <w:bCs/>
                <w:color w:val="auto"/>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332B1198" w14:textId="77777777" w:rsidR="00E356BB" w:rsidRPr="00E356BB" w:rsidRDefault="00E356BB" w:rsidP="00E356BB">
            <w:pPr>
              <w:jc w:val="left"/>
              <w:rPr>
                <w:rFonts w:ascii="Calibri" w:hAnsi="Calibri"/>
                <w:b/>
                <w:bCs/>
                <w:color w:val="auto"/>
                <w:sz w:val="16"/>
                <w:szCs w:val="16"/>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14:paraId="164ECA77" w14:textId="77777777" w:rsidR="00E356BB" w:rsidRPr="00E356BB" w:rsidRDefault="00E356BB" w:rsidP="00E356BB">
            <w:pPr>
              <w:jc w:val="left"/>
              <w:rPr>
                <w:rFonts w:ascii="Calibri" w:hAnsi="Calibri"/>
                <w:b/>
                <w:bCs/>
                <w:color w:val="auto"/>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7B9ED54"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2D28EE6"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2C0F029" w14:textId="77777777" w:rsidR="00E356BB" w:rsidRPr="00E356BB" w:rsidRDefault="00E356BB" w:rsidP="00E356BB">
            <w:pPr>
              <w:jc w:val="left"/>
              <w:rPr>
                <w:rFonts w:ascii="Calibri" w:hAnsi="Calibri"/>
                <w:b/>
                <w:bCs/>
                <w:color w:val="auto"/>
                <w:sz w:val="16"/>
                <w:szCs w:val="16"/>
              </w:rPr>
            </w:pPr>
          </w:p>
        </w:tc>
      </w:tr>
      <w:tr w:rsidR="00E356BB" w:rsidRPr="00E356BB" w14:paraId="0CF80F1B"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2DA93162"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Latn-RS"/>
              </w:rPr>
              <w:t xml:space="preserve">Procredit bank д.д. Сарајево  </w:t>
            </w:r>
          </w:p>
        </w:tc>
        <w:tc>
          <w:tcPr>
            <w:tcW w:w="1275" w:type="dxa"/>
            <w:tcBorders>
              <w:top w:val="nil"/>
              <w:left w:val="nil"/>
              <w:bottom w:val="single" w:sz="8" w:space="0" w:color="auto"/>
              <w:right w:val="single" w:sz="8" w:space="0" w:color="auto"/>
            </w:tcBorders>
            <w:shd w:val="clear" w:color="000000" w:fill="FFFFFF"/>
            <w:vAlign w:val="center"/>
            <w:hideMark/>
          </w:tcPr>
          <w:p w14:paraId="4ED8507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Latn-RS"/>
              </w:rPr>
              <w:t>2.409.208,33</w:t>
            </w:r>
          </w:p>
        </w:tc>
        <w:tc>
          <w:tcPr>
            <w:tcW w:w="1276" w:type="dxa"/>
            <w:gridSpan w:val="2"/>
            <w:tcBorders>
              <w:top w:val="nil"/>
              <w:left w:val="nil"/>
              <w:bottom w:val="single" w:sz="8" w:space="0" w:color="auto"/>
              <w:right w:val="single" w:sz="8" w:space="0" w:color="auto"/>
            </w:tcBorders>
            <w:shd w:val="clear" w:color="auto" w:fill="auto"/>
            <w:vAlign w:val="center"/>
            <w:hideMark/>
          </w:tcPr>
          <w:p w14:paraId="5B930911" w14:textId="77777777" w:rsidR="00E356BB" w:rsidRPr="00E356BB" w:rsidRDefault="00E356BB" w:rsidP="00E356BB">
            <w:pPr>
              <w:jc w:val="right"/>
              <w:rPr>
                <w:rFonts w:ascii="Calibri" w:hAnsi="Calibri"/>
                <w:sz w:val="18"/>
                <w:szCs w:val="18"/>
              </w:rPr>
            </w:pPr>
            <w:r w:rsidRPr="00E356BB">
              <w:rPr>
                <w:rFonts w:ascii="Calibri" w:hAnsi="Calibri"/>
                <w:sz w:val="18"/>
                <w:szCs w:val="18"/>
              </w:rPr>
              <w:t>6.604.399,47</w:t>
            </w:r>
          </w:p>
        </w:tc>
        <w:tc>
          <w:tcPr>
            <w:tcW w:w="1276" w:type="dxa"/>
            <w:tcBorders>
              <w:top w:val="nil"/>
              <w:left w:val="nil"/>
              <w:bottom w:val="single" w:sz="8" w:space="0" w:color="auto"/>
              <w:right w:val="single" w:sz="8" w:space="0" w:color="auto"/>
            </w:tcBorders>
            <w:shd w:val="clear" w:color="auto" w:fill="auto"/>
            <w:vAlign w:val="center"/>
            <w:hideMark/>
          </w:tcPr>
          <w:p w14:paraId="32CFC15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67392395"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9.013.607,80</w:t>
            </w:r>
          </w:p>
        </w:tc>
        <w:tc>
          <w:tcPr>
            <w:tcW w:w="1134" w:type="dxa"/>
            <w:tcBorders>
              <w:top w:val="nil"/>
              <w:left w:val="nil"/>
              <w:bottom w:val="single" w:sz="8" w:space="0" w:color="auto"/>
              <w:right w:val="single" w:sz="8" w:space="0" w:color="auto"/>
            </w:tcBorders>
            <w:shd w:val="clear" w:color="000000" w:fill="FFFFFF"/>
            <w:vAlign w:val="center"/>
            <w:hideMark/>
          </w:tcPr>
          <w:p w14:paraId="16170A6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33,38%</w:t>
            </w:r>
          </w:p>
        </w:tc>
      </w:tr>
      <w:tr w:rsidR="00E356BB" w:rsidRPr="00E356BB" w14:paraId="5E972782"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23683CED"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Cyrl-BA"/>
              </w:rPr>
              <w:t xml:space="preserve">Мф банка а.д. Бања Лука  </w:t>
            </w:r>
          </w:p>
        </w:tc>
        <w:tc>
          <w:tcPr>
            <w:tcW w:w="1275" w:type="dxa"/>
            <w:tcBorders>
              <w:top w:val="nil"/>
              <w:left w:val="nil"/>
              <w:bottom w:val="single" w:sz="8" w:space="0" w:color="auto"/>
              <w:right w:val="single" w:sz="8" w:space="0" w:color="auto"/>
            </w:tcBorders>
            <w:shd w:val="clear" w:color="000000" w:fill="FFFFFF"/>
            <w:vAlign w:val="center"/>
            <w:hideMark/>
          </w:tcPr>
          <w:p w14:paraId="70F619D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Latn-RS"/>
              </w:rPr>
              <w:t>7.399.343,66</w:t>
            </w:r>
          </w:p>
        </w:tc>
        <w:tc>
          <w:tcPr>
            <w:tcW w:w="1276" w:type="dxa"/>
            <w:gridSpan w:val="2"/>
            <w:tcBorders>
              <w:top w:val="nil"/>
              <w:left w:val="nil"/>
              <w:bottom w:val="single" w:sz="8" w:space="0" w:color="auto"/>
              <w:right w:val="single" w:sz="8" w:space="0" w:color="auto"/>
            </w:tcBorders>
            <w:shd w:val="clear" w:color="auto" w:fill="auto"/>
            <w:vAlign w:val="center"/>
            <w:hideMark/>
          </w:tcPr>
          <w:p w14:paraId="2C49A9AA" w14:textId="77777777" w:rsidR="00E356BB" w:rsidRPr="00E356BB" w:rsidRDefault="00E356BB" w:rsidP="00E356BB">
            <w:pPr>
              <w:jc w:val="right"/>
              <w:rPr>
                <w:rFonts w:ascii="Calibri" w:hAnsi="Calibri"/>
                <w:sz w:val="18"/>
                <w:szCs w:val="18"/>
              </w:rPr>
            </w:pPr>
            <w:r w:rsidRPr="00E356BB">
              <w:rPr>
                <w:rFonts w:ascii="Calibri" w:hAnsi="Calibri"/>
                <w:sz w:val="18"/>
                <w:szCs w:val="18"/>
              </w:rPr>
              <w:t>593.827,75</w:t>
            </w:r>
          </w:p>
        </w:tc>
        <w:tc>
          <w:tcPr>
            <w:tcW w:w="1276" w:type="dxa"/>
            <w:tcBorders>
              <w:top w:val="nil"/>
              <w:left w:val="nil"/>
              <w:bottom w:val="single" w:sz="8" w:space="0" w:color="auto"/>
              <w:right w:val="single" w:sz="8" w:space="0" w:color="auto"/>
            </w:tcBorders>
            <w:shd w:val="clear" w:color="auto" w:fill="auto"/>
            <w:vAlign w:val="center"/>
            <w:hideMark/>
          </w:tcPr>
          <w:p w14:paraId="20FEBBE5"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677B1190"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7.993.171,41</w:t>
            </w:r>
          </w:p>
        </w:tc>
        <w:tc>
          <w:tcPr>
            <w:tcW w:w="1134" w:type="dxa"/>
            <w:tcBorders>
              <w:top w:val="nil"/>
              <w:left w:val="nil"/>
              <w:bottom w:val="single" w:sz="8" w:space="0" w:color="auto"/>
              <w:right w:val="single" w:sz="8" w:space="0" w:color="auto"/>
            </w:tcBorders>
            <w:shd w:val="clear" w:color="000000" w:fill="FFFFFF"/>
            <w:vAlign w:val="center"/>
            <w:hideMark/>
          </w:tcPr>
          <w:p w14:paraId="775DA530"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29,60%</w:t>
            </w:r>
          </w:p>
        </w:tc>
      </w:tr>
      <w:tr w:rsidR="00E356BB" w:rsidRPr="00E356BB" w14:paraId="65018902"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7D396D7"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lang w:val="sr-Latn-RS"/>
              </w:rPr>
              <w:t>Фонд за развој и запошљавање РС а.д. Бања Лука</w:t>
            </w:r>
          </w:p>
        </w:tc>
        <w:tc>
          <w:tcPr>
            <w:tcW w:w="1275" w:type="dxa"/>
            <w:tcBorders>
              <w:top w:val="nil"/>
              <w:left w:val="nil"/>
              <w:bottom w:val="single" w:sz="8" w:space="0" w:color="auto"/>
              <w:right w:val="single" w:sz="8" w:space="0" w:color="auto"/>
            </w:tcBorders>
            <w:shd w:val="clear" w:color="000000" w:fill="FFFFFF"/>
            <w:vAlign w:val="center"/>
            <w:hideMark/>
          </w:tcPr>
          <w:p w14:paraId="3B4EB68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4.565.612,75</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55BD65F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5DFE419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7E2673BF"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4.565.612,75</w:t>
            </w:r>
          </w:p>
        </w:tc>
        <w:tc>
          <w:tcPr>
            <w:tcW w:w="1134" w:type="dxa"/>
            <w:tcBorders>
              <w:top w:val="nil"/>
              <w:left w:val="nil"/>
              <w:bottom w:val="single" w:sz="8" w:space="0" w:color="auto"/>
              <w:right w:val="single" w:sz="8" w:space="0" w:color="auto"/>
            </w:tcBorders>
            <w:shd w:val="clear" w:color="000000" w:fill="FFFFFF"/>
            <w:vAlign w:val="center"/>
            <w:hideMark/>
          </w:tcPr>
          <w:p w14:paraId="2433744E"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16,91%</w:t>
            </w:r>
          </w:p>
        </w:tc>
      </w:tr>
      <w:tr w:rsidR="00E356BB" w:rsidRPr="00E356BB" w14:paraId="04F45EA1"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6F2062B"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lang w:val="sr-Latn-RS"/>
              </w:rPr>
              <w:t xml:space="preserve">Нова банка а.д. Бања Лука </w:t>
            </w:r>
          </w:p>
        </w:tc>
        <w:tc>
          <w:tcPr>
            <w:tcW w:w="1275" w:type="dxa"/>
            <w:tcBorders>
              <w:top w:val="nil"/>
              <w:left w:val="nil"/>
              <w:bottom w:val="single" w:sz="8" w:space="0" w:color="auto"/>
              <w:right w:val="single" w:sz="8" w:space="0" w:color="auto"/>
            </w:tcBorders>
            <w:shd w:val="clear" w:color="auto" w:fill="auto"/>
            <w:vAlign w:val="center"/>
            <w:hideMark/>
          </w:tcPr>
          <w:p w14:paraId="0DE35D71"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3.145.029,40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68465E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auto" w:fill="auto"/>
            <w:vAlign w:val="center"/>
            <w:hideMark/>
          </w:tcPr>
          <w:p w14:paraId="0046556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25479F12"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3.145.029,40</w:t>
            </w:r>
          </w:p>
        </w:tc>
        <w:tc>
          <w:tcPr>
            <w:tcW w:w="1134" w:type="dxa"/>
            <w:tcBorders>
              <w:top w:val="nil"/>
              <w:left w:val="nil"/>
              <w:bottom w:val="single" w:sz="8" w:space="0" w:color="auto"/>
              <w:right w:val="single" w:sz="8" w:space="0" w:color="auto"/>
            </w:tcBorders>
            <w:shd w:val="clear" w:color="000000" w:fill="FFFFFF"/>
            <w:vAlign w:val="center"/>
            <w:hideMark/>
          </w:tcPr>
          <w:p w14:paraId="47AE4E0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11,65%</w:t>
            </w:r>
          </w:p>
        </w:tc>
      </w:tr>
      <w:tr w:rsidR="00E356BB" w:rsidRPr="00E356BB" w14:paraId="02971175"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hideMark/>
          </w:tcPr>
          <w:p w14:paraId="2DDEF22C"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rPr>
              <w:t>Централни регистар хартија од вриједности а.д. Бања Лука</w:t>
            </w:r>
          </w:p>
        </w:tc>
        <w:tc>
          <w:tcPr>
            <w:tcW w:w="1275" w:type="dxa"/>
            <w:tcBorders>
              <w:top w:val="nil"/>
              <w:left w:val="nil"/>
              <w:bottom w:val="single" w:sz="8" w:space="0" w:color="auto"/>
              <w:right w:val="single" w:sz="8" w:space="0" w:color="auto"/>
            </w:tcBorders>
            <w:shd w:val="clear" w:color="auto" w:fill="auto"/>
            <w:noWrap/>
            <w:vAlign w:val="center"/>
            <w:hideMark/>
          </w:tcPr>
          <w:p w14:paraId="5CFD57DA" w14:textId="77777777" w:rsidR="00E356BB" w:rsidRPr="00E356BB" w:rsidRDefault="00E356BB" w:rsidP="00E356BB">
            <w:pPr>
              <w:jc w:val="right"/>
              <w:rPr>
                <w:rFonts w:ascii="Calibri" w:hAnsi="Calibri"/>
                <w:sz w:val="18"/>
                <w:szCs w:val="18"/>
              </w:rPr>
            </w:pPr>
            <w:r w:rsidRPr="00E356BB">
              <w:rPr>
                <w:rFonts w:ascii="Calibri" w:hAnsi="Calibri"/>
                <w:sz w:val="18"/>
                <w:szCs w:val="18"/>
                <w:lang w:val="sr-Cyrl-RS"/>
              </w:rPr>
              <w:t>0,00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7E20262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32658056" w14:textId="77777777" w:rsidR="00E356BB" w:rsidRPr="00E356BB" w:rsidRDefault="00E356BB" w:rsidP="00E356BB">
            <w:pPr>
              <w:jc w:val="right"/>
              <w:rPr>
                <w:rFonts w:ascii="Calibri" w:hAnsi="Calibri"/>
                <w:sz w:val="18"/>
                <w:szCs w:val="18"/>
              </w:rPr>
            </w:pPr>
            <w:r w:rsidRPr="00E356BB">
              <w:rPr>
                <w:rFonts w:ascii="Calibri" w:hAnsi="Calibri"/>
                <w:sz w:val="18"/>
                <w:szCs w:val="18"/>
                <w:lang w:val="sr-Cyrl-BA"/>
              </w:rPr>
              <w:t>2.453.855,02</w:t>
            </w:r>
          </w:p>
        </w:tc>
        <w:tc>
          <w:tcPr>
            <w:tcW w:w="1134" w:type="dxa"/>
            <w:tcBorders>
              <w:top w:val="nil"/>
              <w:left w:val="nil"/>
              <w:bottom w:val="single" w:sz="8" w:space="0" w:color="auto"/>
              <w:right w:val="single" w:sz="8" w:space="0" w:color="auto"/>
            </w:tcBorders>
            <w:shd w:val="clear" w:color="000000" w:fill="FFFFFF"/>
            <w:vAlign w:val="center"/>
            <w:hideMark/>
          </w:tcPr>
          <w:p w14:paraId="7AF943F9"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2.453.855,02</w:t>
            </w:r>
          </w:p>
        </w:tc>
        <w:tc>
          <w:tcPr>
            <w:tcW w:w="1134" w:type="dxa"/>
            <w:tcBorders>
              <w:top w:val="nil"/>
              <w:left w:val="nil"/>
              <w:bottom w:val="single" w:sz="8" w:space="0" w:color="auto"/>
              <w:right w:val="single" w:sz="8" w:space="0" w:color="auto"/>
            </w:tcBorders>
            <w:shd w:val="clear" w:color="000000" w:fill="FFFFFF"/>
            <w:vAlign w:val="center"/>
            <w:hideMark/>
          </w:tcPr>
          <w:p w14:paraId="47B1946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9,09%</w:t>
            </w:r>
          </w:p>
        </w:tc>
      </w:tr>
      <w:tr w:rsidR="00E356BB" w:rsidRPr="00E356BB" w14:paraId="3EBE9BAB"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78856767"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Latn-RS"/>
              </w:rPr>
              <w:t xml:space="preserve">Unicredit bank а.д.. Бања Лука  </w:t>
            </w:r>
          </w:p>
        </w:tc>
        <w:tc>
          <w:tcPr>
            <w:tcW w:w="1275" w:type="dxa"/>
            <w:tcBorders>
              <w:top w:val="nil"/>
              <w:left w:val="nil"/>
              <w:bottom w:val="single" w:sz="8" w:space="0" w:color="auto"/>
              <w:right w:val="single" w:sz="8" w:space="0" w:color="auto"/>
            </w:tcBorders>
            <w:shd w:val="clear" w:color="000000" w:fill="FFFFFF"/>
            <w:vAlign w:val="center"/>
            <w:hideMark/>
          </w:tcPr>
          <w:p w14:paraId="30DCD99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Latn-RS"/>
              </w:rPr>
              <w:t>453.728,21</w:t>
            </w:r>
          </w:p>
        </w:tc>
        <w:tc>
          <w:tcPr>
            <w:tcW w:w="1276" w:type="dxa"/>
            <w:gridSpan w:val="2"/>
            <w:tcBorders>
              <w:top w:val="nil"/>
              <w:left w:val="nil"/>
              <w:bottom w:val="single" w:sz="8" w:space="0" w:color="auto"/>
              <w:right w:val="single" w:sz="8" w:space="0" w:color="auto"/>
            </w:tcBorders>
            <w:shd w:val="clear" w:color="auto" w:fill="auto"/>
            <w:vAlign w:val="center"/>
            <w:hideMark/>
          </w:tcPr>
          <w:p w14:paraId="2393B040" w14:textId="77777777" w:rsidR="00E356BB" w:rsidRPr="00E356BB" w:rsidRDefault="00E356BB" w:rsidP="00E356BB">
            <w:pPr>
              <w:jc w:val="right"/>
              <w:rPr>
                <w:rFonts w:ascii="Calibri" w:hAnsi="Calibri"/>
                <w:sz w:val="18"/>
                <w:szCs w:val="18"/>
              </w:rPr>
            </w:pPr>
            <w:r w:rsidRPr="00E356BB">
              <w:rPr>
                <w:rFonts w:ascii="Calibri" w:hAnsi="Calibri"/>
                <w:sz w:val="18"/>
                <w:szCs w:val="18"/>
              </w:rPr>
              <w:t>1.642.639,92</w:t>
            </w:r>
          </w:p>
        </w:tc>
        <w:tc>
          <w:tcPr>
            <w:tcW w:w="1276" w:type="dxa"/>
            <w:tcBorders>
              <w:top w:val="nil"/>
              <w:left w:val="nil"/>
              <w:bottom w:val="single" w:sz="8" w:space="0" w:color="auto"/>
              <w:right w:val="single" w:sz="8" w:space="0" w:color="auto"/>
            </w:tcBorders>
            <w:shd w:val="clear" w:color="auto" w:fill="auto"/>
            <w:vAlign w:val="center"/>
            <w:hideMark/>
          </w:tcPr>
          <w:p w14:paraId="73DD448A"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0A9B524E"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2.096.368,13</w:t>
            </w:r>
          </w:p>
        </w:tc>
        <w:tc>
          <w:tcPr>
            <w:tcW w:w="1134" w:type="dxa"/>
            <w:tcBorders>
              <w:top w:val="nil"/>
              <w:left w:val="nil"/>
              <w:bottom w:val="single" w:sz="8" w:space="0" w:color="auto"/>
              <w:right w:val="single" w:sz="8" w:space="0" w:color="auto"/>
            </w:tcBorders>
            <w:shd w:val="clear" w:color="000000" w:fill="FFFFFF"/>
            <w:vAlign w:val="center"/>
            <w:hideMark/>
          </w:tcPr>
          <w:p w14:paraId="03B12AA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7,76%</w:t>
            </w:r>
          </w:p>
        </w:tc>
      </w:tr>
      <w:tr w:rsidR="00E356BB" w:rsidRPr="00E356BB" w14:paraId="5D354099"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3166B5C8"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Cyrl-BA"/>
              </w:rPr>
              <w:t xml:space="preserve">Бпш банка а.д. Бања Лука  </w:t>
            </w:r>
          </w:p>
        </w:tc>
        <w:tc>
          <w:tcPr>
            <w:tcW w:w="1275" w:type="dxa"/>
            <w:tcBorders>
              <w:top w:val="nil"/>
              <w:left w:val="nil"/>
              <w:bottom w:val="single" w:sz="8" w:space="0" w:color="auto"/>
              <w:right w:val="single" w:sz="8" w:space="0" w:color="auto"/>
            </w:tcBorders>
            <w:shd w:val="clear" w:color="auto" w:fill="auto"/>
            <w:vAlign w:val="center"/>
            <w:hideMark/>
          </w:tcPr>
          <w:p w14:paraId="4C587825"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732.607,30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7906100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78A1247E"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5901FB12"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732.607,30</w:t>
            </w:r>
          </w:p>
        </w:tc>
        <w:tc>
          <w:tcPr>
            <w:tcW w:w="1134" w:type="dxa"/>
            <w:tcBorders>
              <w:top w:val="nil"/>
              <w:left w:val="nil"/>
              <w:bottom w:val="single" w:sz="8" w:space="0" w:color="auto"/>
              <w:right w:val="single" w:sz="8" w:space="0" w:color="auto"/>
            </w:tcBorders>
            <w:shd w:val="clear" w:color="000000" w:fill="FFFFFF"/>
            <w:vAlign w:val="center"/>
            <w:hideMark/>
          </w:tcPr>
          <w:p w14:paraId="3C09C0C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2,71%</w:t>
            </w:r>
          </w:p>
        </w:tc>
      </w:tr>
      <w:tr w:rsidR="00E356BB" w:rsidRPr="00E356BB" w14:paraId="241FF5BF"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5EFC1129"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Cyrl-BA"/>
              </w:rPr>
              <w:t xml:space="preserve">Атос банк а.д. Бања Лука  </w:t>
            </w:r>
          </w:p>
        </w:tc>
        <w:tc>
          <w:tcPr>
            <w:tcW w:w="1275" w:type="dxa"/>
            <w:tcBorders>
              <w:top w:val="nil"/>
              <w:left w:val="nil"/>
              <w:bottom w:val="single" w:sz="8" w:space="0" w:color="auto"/>
              <w:right w:val="single" w:sz="8" w:space="0" w:color="auto"/>
            </w:tcBorders>
            <w:shd w:val="clear" w:color="auto" w:fill="auto"/>
            <w:vAlign w:val="center"/>
            <w:hideMark/>
          </w:tcPr>
          <w:p w14:paraId="072B3B19"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426.930,74</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2086E27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71AA7B11"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34402FD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426.930,74</w:t>
            </w:r>
          </w:p>
        </w:tc>
        <w:tc>
          <w:tcPr>
            <w:tcW w:w="1134" w:type="dxa"/>
            <w:tcBorders>
              <w:top w:val="nil"/>
              <w:left w:val="nil"/>
              <w:bottom w:val="single" w:sz="8" w:space="0" w:color="auto"/>
              <w:right w:val="single" w:sz="8" w:space="0" w:color="auto"/>
            </w:tcBorders>
            <w:shd w:val="clear" w:color="000000" w:fill="FFFFFF"/>
            <w:vAlign w:val="center"/>
            <w:hideMark/>
          </w:tcPr>
          <w:p w14:paraId="1D781DE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1,58%</w:t>
            </w:r>
          </w:p>
        </w:tc>
      </w:tr>
      <w:tr w:rsidR="00E356BB" w:rsidRPr="00E356BB" w14:paraId="170D7E5D" w14:textId="77777777" w:rsidTr="009051D2">
        <w:trPr>
          <w:trHeight w:val="30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79235728"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Cyrl-BA"/>
              </w:rPr>
              <w:t>Банка српске у стечају  а.д. Бања Лука</w:t>
            </w:r>
          </w:p>
        </w:tc>
        <w:tc>
          <w:tcPr>
            <w:tcW w:w="1275" w:type="dxa"/>
            <w:tcBorders>
              <w:top w:val="nil"/>
              <w:left w:val="nil"/>
              <w:bottom w:val="single" w:sz="8" w:space="0" w:color="auto"/>
              <w:right w:val="single" w:sz="8" w:space="0" w:color="auto"/>
            </w:tcBorders>
            <w:shd w:val="clear" w:color="auto" w:fill="auto"/>
            <w:vAlign w:val="center"/>
            <w:hideMark/>
          </w:tcPr>
          <w:p w14:paraId="5BD3914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91.660,40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5E78C1B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59AD0F9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5F3B892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91.660,40</w:t>
            </w:r>
          </w:p>
        </w:tc>
        <w:tc>
          <w:tcPr>
            <w:tcW w:w="1134" w:type="dxa"/>
            <w:tcBorders>
              <w:top w:val="nil"/>
              <w:left w:val="nil"/>
              <w:bottom w:val="single" w:sz="8" w:space="0" w:color="auto"/>
              <w:right w:val="single" w:sz="8" w:space="0" w:color="auto"/>
            </w:tcBorders>
            <w:shd w:val="clear" w:color="000000" w:fill="FFFFFF"/>
            <w:vAlign w:val="center"/>
            <w:hideMark/>
          </w:tcPr>
          <w:p w14:paraId="0A0904E5"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0,34%</w:t>
            </w:r>
          </w:p>
        </w:tc>
      </w:tr>
      <w:tr w:rsidR="00E356BB" w:rsidRPr="00E356BB" w14:paraId="715C563C" w14:textId="77777777" w:rsidTr="009051D2">
        <w:trPr>
          <w:trHeight w:val="42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7BB57FF6"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Cyrl-BA"/>
              </w:rPr>
              <w:t>Наша банка а.д. Бијељина</w:t>
            </w:r>
          </w:p>
        </w:tc>
        <w:tc>
          <w:tcPr>
            <w:tcW w:w="1275" w:type="dxa"/>
            <w:tcBorders>
              <w:top w:val="nil"/>
              <w:left w:val="nil"/>
              <w:bottom w:val="single" w:sz="8" w:space="0" w:color="auto"/>
              <w:right w:val="single" w:sz="8" w:space="0" w:color="auto"/>
            </w:tcBorders>
            <w:shd w:val="clear" w:color="auto" w:fill="auto"/>
            <w:vAlign w:val="center"/>
            <w:hideMark/>
          </w:tcPr>
          <w:p w14:paraId="7CFAF9D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72.199,86</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434EFE6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48836F4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755165F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72.199,86</w:t>
            </w:r>
          </w:p>
        </w:tc>
        <w:tc>
          <w:tcPr>
            <w:tcW w:w="1134" w:type="dxa"/>
            <w:tcBorders>
              <w:top w:val="nil"/>
              <w:left w:val="nil"/>
              <w:bottom w:val="single" w:sz="8" w:space="0" w:color="auto"/>
              <w:right w:val="single" w:sz="8" w:space="0" w:color="auto"/>
            </w:tcBorders>
            <w:shd w:val="clear" w:color="000000" w:fill="FFFFFF"/>
            <w:vAlign w:val="center"/>
            <w:hideMark/>
          </w:tcPr>
          <w:p w14:paraId="4EC186C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0,27%</w:t>
            </w:r>
          </w:p>
        </w:tc>
      </w:tr>
      <w:tr w:rsidR="00E356BB" w:rsidRPr="00E356BB" w14:paraId="01924D61" w14:textId="77777777" w:rsidTr="009051D2">
        <w:trPr>
          <w:trHeight w:val="31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7E6522BF"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lang w:val="sr-Latn-RS"/>
              </w:rPr>
              <w:t>Нлб развојна банка а.д. Бања Лука</w:t>
            </w:r>
          </w:p>
        </w:tc>
        <w:tc>
          <w:tcPr>
            <w:tcW w:w="1275" w:type="dxa"/>
            <w:tcBorders>
              <w:top w:val="nil"/>
              <w:left w:val="nil"/>
              <w:bottom w:val="single" w:sz="8" w:space="0" w:color="auto"/>
              <w:right w:val="single" w:sz="8" w:space="0" w:color="auto"/>
            </w:tcBorders>
            <w:shd w:val="clear" w:color="auto" w:fill="auto"/>
            <w:vAlign w:val="center"/>
            <w:hideMark/>
          </w:tcPr>
          <w:p w14:paraId="08F2E969"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65.240,47</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69F10389"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5E2186E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4741D1A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65.240,47</w:t>
            </w:r>
          </w:p>
        </w:tc>
        <w:tc>
          <w:tcPr>
            <w:tcW w:w="1134" w:type="dxa"/>
            <w:tcBorders>
              <w:top w:val="nil"/>
              <w:left w:val="nil"/>
              <w:bottom w:val="single" w:sz="8" w:space="0" w:color="auto"/>
              <w:right w:val="single" w:sz="8" w:space="0" w:color="auto"/>
            </w:tcBorders>
            <w:shd w:val="clear" w:color="000000" w:fill="FFFFFF"/>
            <w:vAlign w:val="center"/>
            <w:hideMark/>
          </w:tcPr>
          <w:p w14:paraId="43146C7A"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0,24%</w:t>
            </w:r>
          </w:p>
        </w:tc>
      </w:tr>
      <w:tr w:rsidR="00E356BB" w:rsidRPr="00E356BB" w14:paraId="13E9F674"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4AF3989"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lang w:val="sr-Latn-RS"/>
              </w:rPr>
              <w:t xml:space="preserve">Ziraat Bank Bosnia д.д. Сарајево  </w:t>
            </w:r>
          </w:p>
        </w:tc>
        <w:tc>
          <w:tcPr>
            <w:tcW w:w="1275" w:type="dxa"/>
            <w:tcBorders>
              <w:top w:val="nil"/>
              <w:left w:val="nil"/>
              <w:bottom w:val="single" w:sz="8" w:space="0" w:color="auto"/>
              <w:right w:val="single" w:sz="8" w:space="0" w:color="auto"/>
            </w:tcBorders>
            <w:shd w:val="clear" w:color="auto" w:fill="auto"/>
            <w:vAlign w:val="center"/>
            <w:hideMark/>
          </w:tcPr>
          <w:p w14:paraId="313F188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52.687,09</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5C9DF87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335106B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lang w:val="sr-Cyrl-RS"/>
              </w:rPr>
              <w:t>0,00</w:t>
            </w:r>
          </w:p>
        </w:tc>
        <w:tc>
          <w:tcPr>
            <w:tcW w:w="1134" w:type="dxa"/>
            <w:tcBorders>
              <w:top w:val="nil"/>
              <w:left w:val="nil"/>
              <w:bottom w:val="single" w:sz="8" w:space="0" w:color="auto"/>
              <w:right w:val="single" w:sz="8" w:space="0" w:color="auto"/>
            </w:tcBorders>
            <w:shd w:val="clear" w:color="000000" w:fill="FFFFFF"/>
            <w:vAlign w:val="center"/>
            <w:hideMark/>
          </w:tcPr>
          <w:p w14:paraId="467BFB31"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52.687,09</w:t>
            </w:r>
          </w:p>
        </w:tc>
        <w:tc>
          <w:tcPr>
            <w:tcW w:w="1134" w:type="dxa"/>
            <w:tcBorders>
              <w:top w:val="nil"/>
              <w:left w:val="nil"/>
              <w:bottom w:val="single" w:sz="8" w:space="0" w:color="auto"/>
              <w:right w:val="single" w:sz="8" w:space="0" w:color="auto"/>
            </w:tcBorders>
            <w:shd w:val="clear" w:color="000000" w:fill="FFFFFF"/>
            <w:vAlign w:val="center"/>
            <w:hideMark/>
          </w:tcPr>
          <w:p w14:paraId="1D6056A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0,20%</w:t>
            </w:r>
          </w:p>
        </w:tc>
      </w:tr>
      <w:tr w:rsidR="00E356BB" w:rsidRPr="00E356BB" w14:paraId="05F28875"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8DB4E2"/>
            <w:vAlign w:val="center"/>
            <w:hideMark/>
          </w:tcPr>
          <w:p w14:paraId="11A07E2F" w14:textId="77777777" w:rsidR="00E356BB" w:rsidRPr="00E356BB" w:rsidRDefault="00E356BB" w:rsidP="00E356BB">
            <w:pPr>
              <w:jc w:val="center"/>
              <w:rPr>
                <w:rFonts w:ascii="Calibri" w:hAnsi="Calibri"/>
                <w:b/>
                <w:bCs/>
                <w:color w:val="auto"/>
                <w:sz w:val="18"/>
                <w:szCs w:val="18"/>
              </w:rPr>
            </w:pPr>
            <w:r w:rsidRPr="00E356BB">
              <w:rPr>
                <w:rFonts w:ascii="Calibri" w:hAnsi="Calibri"/>
                <w:b/>
                <w:bCs/>
                <w:color w:val="auto"/>
                <w:sz w:val="18"/>
                <w:szCs w:val="18"/>
                <w:lang w:val="sr-Cyrl-BA"/>
              </w:rPr>
              <w:t>УКУПНО</w:t>
            </w:r>
          </w:p>
        </w:tc>
        <w:tc>
          <w:tcPr>
            <w:tcW w:w="1275" w:type="dxa"/>
            <w:tcBorders>
              <w:top w:val="nil"/>
              <w:left w:val="nil"/>
              <w:bottom w:val="single" w:sz="8" w:space="0" w:color="auto"/>
              <w:right w:val="single" w:sz="8" w:space="0" w:color="auto"/>
            </w:tcBorders>
            <w:shd w:val="clear" w:color="000000" w:fill="8DB4E2"/>
            <w:vAlign w:val="center"/>
            <w:hideMark/>
          </w:tcPr>
          <w:p w14:paraId="551593D6" w14:textId="77777777" w:rsidR="00E356BB" w:rsidRPr="00E356BB" w:rsidRDefault="00E356BB" w:rsidP="00E356BB">
            <w:pPr>
              <w:ind w:left="-108" w:right="-108"/>
              <w:jc w:val="right"/>
              <w:rPr>
                <w:rFonts w:ascii="Calibri" w:hAnsi="Calibri"/>
                <w:b/>
                <w:bCs/>
                <w:color w:val="auto"/>
                <w:sz w:val="18"/>
                <w:szCs w:val="18"/>
              </w:rPr>
            </w:pPr>
            <w:r w:rsidRPr="00E356BB">
              <w:rPr>
                <w:rFonts w:ascii="Calibri" w:hAnsi="Calibri"/>
                <w:b/>
                <w:bCs/>
                <w:color w:val="auto"/>
                <w:sz w:val="18"/>
                <w:szCs w:val="18"/>
                <w:lang w:val="sr-Cyrl-RS"/>
              </w:rPr>
              <w:t>19.414.248,21</w:t>
            </w:r>
          </w:p>
        </w:tc>
        <w:tc>
          <w:tcPr>
            <w:tcW w:w="1276" w:type="dxa"/>
            <w:gridSpan w:val="2"/>
            <w:tcBorders>
              <w:top w:val="nil"/>
              <w:left w:val="nil"/>
              <w:bottom w:val="single" w:sz="8" w:space="0" w:color="auto"/>
              <w:right w:val="single" w:sz="8" w:space="0" w:color="auto"/>
            </w:tcBorders>
            <w:shd w:val="clear" w:color="000000" w:fill="8DB4E2"/>
            <w:vAlign w:val="center"/>
            <w:hideMark/>
          </w:tcPr>
          <w:p w14:paraId="37D54C83" w14:textId="77777777" w:rsidR="00E356BB" w:rsidRPr="00E356BB" w:rsidRDefault="00E356BB" w:rsidP="00E356BB">
            <w:pPr>
              <w:jc w:val="right"/>
              <w:rPr>
                <w:rFonts w:ascii="Calibri" w:hAnsi="Calibri"/>
                <w:b/>
                <w:bCs/>
                <w:color w:val="auto"/>
                <w:sz w:val="18"/>
                <w:szCs w:val="18"/>
              </w:rPr>
            </w:pPr>
            <w:r w:rsidRPr="00E356BB">
              <w:rPr>
                <w:rFonts w:ascii="Calibri" w:hAnsi="Calibri"/>
                <w:b/>
                <w:bCs/>
                <w:color w:val="auto"/>
                <w:sz w:val="18"/>
                <w:szCs w:val="18"/>
                <w:lang w:val="sr-Latn-RS"/>
              </w:rPr>
              <w:t>8.840.867,14</w:t>
            </w:r>
          </w:p>
        </w:tc>
        <w:tc>
          <w:tcPr>
            <w:tcW w:w="1276" w:type="dxa"/>
            <w:tcBorders>
              <w:top w:val="nil"/>
              <w:left w:val="nil"/>
              <w:bottom w:val="single" w:sz="8" w:space="0" w:color="auto"/>
              <w:right w:val="single" w:sz="8" w:space="0" w:color="auto"/>
            </w:tcBorders>
            <w:shd w:val="clear" w:color="000000" w:fill="8DB4E2"/>
            <w:vAlign w:val="center"/>
            <w:hideMark/>
          </w:tcPr>
          <w:p w14:paraId="0CE51A48" w14:textId="77777777" w:rsidR="00E356BB" w:rsidRPr="00E356BB" w:rsidRDefault="00E356BB" w:rsidP="00E356BB">
            <w:pPr>
              <w:jc w:val="right"/>
              <w:rPr>
                <w:rFonts w:ascii="Calibri" w:hAnsi="Calibri"/>
                <w:b/>
                <w:bCs/>
                <w:sz w:val="18"/>
                <w:szCs w:val="18"/>
              </w:rPr>
            </w:pPr>
            <w:r w:rsidRPr="00E356BB">
              <w:rPr>
                <w:rFonts w:ascii="Calibri" w:hAnsi="Calibri"/>
                <w:b/>
                <w:bCs/>
                <w:sz w:val="18"/>
                <w:szCs w:val="18"/>
                <w:lang w:val="sr-Cyrl-BA"/>
              </w:rPr>
              <w:t>2.453.855,02</w:t>
            </w:r>
          </w:p>
        </w:tc>
        <w:tc>
          <w:tcPr>
            <w:tcW w:w="1134" w:type="dxa"/>
            <w:tcBorders>
              <w:top w:val="nil"/>
              <w:left w:val="nil"/>
              <w:bottom w:val="single" w:sz="8" w:space="0" w:color="auto"/>
              <w:right w:val="single" w:sz="8" w:space="0" w:color="auto"/>
            </w:tcBorders>
            <w:shd w:val="clear" w:color="000000" w:fill="8DB4E2"/>
            <w:vAlign w:val="center"/>
            <w:hideMark/>
          </w:tcPr>
          <w:p w14:paraId="4C2DE3B8" w14:textId="77777777" w:rsidR="00E356BB" w:rsidRPr="00E356BB" w:rsidRDefault="00E356BB" w:rsidP="00E356BB">
            <w:pPr>
              <w:ind w:left="-108" w:right="-108"/>
              <w:jc w:val="right"/>
              <w:rPr>
                <w:rFonts w:ascii="Calibri" w:hAnsi="Calibri"/>
                <w:b/>
                <w:bCs/>
                <w:color w:val="auto"/>
                <w:sz w:val="18"/>
                <w:szCs w:val="18"/>
              </w:rPr>
            </w:pPr>
            <w:r w:rsidRPr="00E356BB">
              <w:rPr>
                <w:rFonts w:ascii="Calibri" w:hAnsi="Calibri"/>
                <w:b/>
                <w:bCs/>
                <w:color w:val="auto"/>
                <w:sz w:val="18"/>
                <w:szCs w:val="18"/>
              </w:rPr>
              <w:t>30.708.970,37</w:t>
            </w:r>
          </w:p>
        </w:tc>
        <w:tc>
          <w:tcPr>
            <w:tcW w:w="1134" w:type="dxa"/>
            <w:tcBorders>
              <w:top w:val="nil"/>
              <w:left w:val="nil"/>
              <w:bottom w:val="single" w:sz="8" w:space="0" w:color="auto"/>
              <w:right w:val="single" w:sz="8" w:space="0" w:color="auto"/>
            </w:tcBorders>
            <w:shd w:val="clear" w:color="000000" w:fill="8DB4E2"/>
            <w:vAlign w:val="center"/>
            <w:hideMark/>
          </w:tcPr>
          <w:p w14:paraId="1785E017" w14:textId="77777777" w:rsidR="00E356BB" w:rsidRPr="00E356BB" w:rsidRDefault="00E356BB" w:rsidP="00E356BB">
            <w:pPr>
              <w:jc w:val="right"/>
              <w:rPr>
                <w:rFonts w:ascii="Calibri" w:hAnsi="Calibri"/>
                <w:b/>
                <w:bCs/>
                <w:color w:val="auto"/>
                <w:sz w:val="18"/>
                <w:szCs w:val="18"/>
              </w:rPr>
            </w:pPr>
            <w:r w:rsidRPr="00E356BB">
              <w:rPr>
                <w:rFonts w:ascii="Calibri" w:hAnsi="Calibri"/>
                <w:b/>
                <w:bCs/>
                <w:color w:val="auto"/>
                <w:sz w:val="18"/>
                <w:szCs w:val="18"/>
              </w:rPr>
              <w:t> </w:t>
            </w:r>
          </w:p>
        </w:tc>
      </w:tr>
    </w:tbl>
    <w:p w14:paraId="4469A986" w14:textId="77777777" w:rsidR="00A944C8" w:rsidRPr="00F7504C" w:rsidRDefault="00A944C8" w:rsidP="00A944C8">
      <w:pPr>
        <w:autoSpaceDE w:val="0"/>
        <w:autoSpaceDN w:val="0"/>
        <w:adjustRightInd w:val="0"/>
        <w:rPr>
          <w:rFonts w:asciiTheme="minorHAnsi" w:eastAsiaTheme="minorHAnsi" w:hAnsiTheme="minorHAnsi"/>
          <w:color w:val="FF0000"/>
          <w:sz w:val="20"/>
          <w:szCs w:val="20"/>
          <w:lang w:val="sr-Cyrl-RS" w:eastAsia="en-US"/>
        </w:rPr>
      </w:pPr>
    </w:p>
    <w:p w14:paraId="24995C4A" w14:textId="77777777" w:rsidR="009051D2" w:rsidRDefault="009051D2" w:rsidP="00A944C8">
      <w:pPr>
        <w:autoSpaceDE w:val="0"/>
        <w:autoSpaceDN w:val="0"/>
        <w:adjustRightInd w:val="0"/>
        <w:rPr>
          <w:rFonts w:asciiTheme="minorHAnsi" w:eastAsiaTheme="minorHAnsi" w:hAnsiTheme="minorHAnsi"/>
          <w:color w:val="auto"/>
          <w:sz w:val="20"/>
          <w:szCs w:val="20"/>
          <w:lang w:val="sr-Cyrl-BA" w:eastAsia="en-US"/>
        </w:rPr>
      </w:pPr>
    </w:p>
    <w:p w14:paraId="2A7637DC" w14:textId="77777777" w:rsidR="00CA6C43" w:rsidRDefault="00CA6C43" w:rsidP="00A944C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Потенцијална обавеза Фонда је једнака стању гаранција на </w:t>
      </w:r>
      <w:r w:rsidR="00CF5C14">
        <w:rPr>
          <w:rFonts w:asciiTheme="minorHAnsi" w:eastAsiaTheme="minorHAnsi" w:hAnsiTheme="minorHAnsi"/>
          <w:color w:val="auto"/>
          <w:sz w:val="20"/>
          <w:szCs w:val="20"/>
          <w:lang w:val="sr-Cyrl-BA" w:eastAsia="en-US"/>
        </w:rPr>
        <w:t>дан 31.12.2023. године</w:t>
      </w:r>
      <w:r>
        <w:rPr>
          <w:rFonts w:asciiTheme="minorHAnsi" w:eastAsiaTheme="minorHAnsi" w:hAnsiTheme="minorHAnsi"/>
          <w:color w:val="auto"/>
          <w:sz w:val="20"/>
          <w:szCs w:val="20"/>
          <w:lang w:val="sr-Cyrl-BA" w:eastAsia="en-US"/>
        </w:rPr>
        <w:t xml:space="preserve"> и износи </w:t>
      </w:r>
      <w:r w:rsidRPr="00C82041">
        <w:rPr>
          <w:rFonts w:asciiTheme="minorHAnsi" w:eastAsiaTheme="minorHAnsi" w:hAnsiTheme="minorHAnsi"/>
          <w:b/>
          <w:color w:val="auto"/>
          <w:sz w:val="20"/>
          <w:szCs w:val="20"/>
          <w:lang w:val="sr-Cyrl-BA" w:eastAsia="en-US"/>
        </w:rPr>
        <w:t>30.708.970,37 КМ</w:t>
      </w:r>
      <w:r>
        <w:rPr>
          <w:rFonts w:asciiTheme="minorHAnsi" w:eastAsiaTheme="minorHAnsi" w:hAnsiTheme="minorHAnsi"/>
          <w:color w:val="auto"/>
          <w:sz w:val="20"/>
          <w:szCs w:val="20"/>
          <w:lang w:val="sr-Cyrl-BA" w:eastAsia="en-US"/>
        </w:rPr>
        <w:t>.</w:t>
      </w:r>
      <w:r w:rsidR="00CF5C14">
        <w:rPr>
          <w:rFonts w:asciiTheme="minorHAnsi" w:eastAsiaTheme="minorHAnsi" w:hAnsiTheme="minorHAnsi"/>
          <w:color w:val="auto"/>
          <w:sz w:val="20"/>
          <w:szCs w:val="20"/>
          <w:lang w:val="sr-Cyrl-BA" w:eastAsia="en-US"/>
        </w:rPr>
        <w:t xml:space="preserve">  Највећа је изложеност Фонда према финансијским посредницима по основу појединачних гаранција и она износи 19.414.248,21 КМ. Изложеност по основу гаранција из кредитног портфолија износи 8.840.867,14 КМ и односи се на изложеност према МФ, Прокредит и Уникредит банци које су до краја 2023. године имале пласиране кредите у оквиру уговореног кредитног портфолија. Најмања је изложеност Фонда по основу гаранција на емитоване хартије од вриједности </w:t>
      </w:r>
      <w:r w:rsidR="00C82041">
        <w:rPr>
          <w:rFonts w:asciiTheme="minorHAnsi" w:eastAsiaTheme="minorHAnsi" w:hAnsiTheme="minorHAnsi"/>
          <w:color w:val="auto"/>
          <w:sz w:val="20"/>
          <w:szCs w:val="20"/>
          <w:lang w:val="sr-Cyrl-BA" w:eastAsia="en-US"/>
        </w:rPr>
        <w:t xml:space="preserve">и </w:t>
      </w:r>
      <w:r w:rsidR="009051D2">
        <w:rPr>
          <w:rFonts w:asciiTheme="minorHAnsi" w:eastAsiaTheme="minorHAnsi" w:hAnsiTheme="minorHAnsi"/>
          <w:color w:val="auto"/>
          <w:sz w:val="20"/>
          <w:szCs w:val="20"/>
          <w:lang w:val="sr-Cyrl-BA" w:eastAsia="en-US"/>
        </w:rPr>
        <w:t xml:space="preserve">она </w:t>
      </w:r>
      <w:r w:rsidR="00C82041">
        <w:rPr>
          <w:rFonts w:asciiTheme="minorHAnsi" w:eastAsiaTheme="minorHAnsi" w:hAnsiTheme="minorHAnsi"/>
          <w:color w:val="auto"/>
          <w:sz w:val="20"/>
          <w:szCs w:val="20"/>
          <w:lang w:val="sr-Cyrl-BA" w:eastAsia="en-US"/>
        </w:rPr>
        <w:t>износи</w:t>
      </w:r>
      <w:r w:rsidR="00CF5C14">
        <w:rPr>
          <w:rFonts w:asciiTheme="minorHAnsi" w:eastAsiaTheme="minorHAnsi" w:hAnsiTheme="minorHAnsi"/>
          <w:color w:val="auto"/>
          <w:sz w:val="20"/>
          <w:szCs w:val="20"/>
          <w:lang w:val="sr-Cyrl-BA" w:eastAsia="en-US"/>
        </w:rPr>
        <w:t xml:space="preserve"> 2.453.855,02 КМ, а односи се на </w:t>
      </w:r>
      <w:r w:rsidR="00C82041">
        <w:rPr>
          <w:rFonts w:asciiTheme="minorHAnsi" w:eastAsiaTheme="minorHAnsi" w:hAnsiTheme="minorHAnsi"/>
          <w:color w:val="auto"/>
          <w:sz w:val="20"/>
          <w:szCs w:val="20"/>
          <w:lang w:val="sr-Cyrl-BA" w:eastAsia="en-US"/>
        </w:rPr>
        <w:t>потенцијалну обавезу</w:t>
      </w:r>
      <w:r w:rsidR="00CF5C14">
        <w:rPr>
          <w:rFonts w:asciiTheme="minorHAnsi" w:eastAsiaTheme="minorHAnsi" w:hAnsiTheme="minorHAnsi"/>
          <w:color w:val="auto"/>
          <w:sz w:val="20"/>
          <w:szCs w:val="20"/>
          <w:lang w:val="sr-Cyrl-BA" w:eastAsia="en-US"/>
        </w:rPr>
        <w:t xml:space="preserve"> према Централном регистру хартија од вриједности а.д. Бања Лука, који има </w:t>
      </w:r>
      <w:r w:rsidR="00C82041">
        <w:rPr>
          <w:rFonts w:asciiTheme="minorHAnsi" w:eastAsiaTheme="minorHAnsi" w:hAnsiTheme="minorHAnsi"/>
          <w:color w:val="auto"/>
          <w:sz w:val="20"/>
          <w:szCs w:val="20"/>
          <w:lang w:val="sr-Cyrl-BA" w:eastAsia="en-US"/>
        </w:rPr>
        <w:t>улогу платног агента који наступ</w:t>
      </w:r>
      <w:r w:rsidR="00CF5C14">
        <w:rPr>
          <w:rFonts w:asciiTheme="minorHAnsi" w:eastAsiaTheme="minorHAnsi" w:hAnsiTheme="minorHAnsi"/>
          <w:color w:val="auto"/>
          <w:sz w:val="20"/>
          <w:szCs w:val="20"/>
          <w:lang w:val="sr-Cyrl-BA" w:eastAsia="en-US"/>
        </w:rPr>
        <w:t>а у име и за рачун власника обвезница.</w:t>
      </w:r>
    </w:p>
    <w:p w14:paraId="1449B683" w14:textId="77777777" w:rsidR="00572EC5" w:rsidRPr="00572EC5" w:rsidRDefault="00572EC5" w:rsidP="00572EC5">
      <w:pPr>
        <w:autoSpaceDE w:val="0"/>
        <w:autoSpaceDN w:val="0"/>
        <w:adjustRightInd w:val="0"/>
        <w:rPr>
          <w:rFonts w:asciiTheme="minorHAnsi" w:eastAsiaTheme="minorHAnsi" w:hAnsiTheme="minorHAnsi"/>
          <w:color w:val="auto"/>
          <w:sz w:val="20"/>
          <w:szCs w:val="20"/>
          <w:lang w:val="sr-Cyrl-BA" w:eastAsia="en-US"/>
        </w:rPr>
      </w:pPr>
    </w:p>
    <w:p w14:paraId="6AEB6CEB" w14:textId="77777777" w:rsidR="00CF5C14" w:rsidRPr="00CA6C43" w:rsidRDefault="00E66BA7" w:rsidP="00572EC5">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Општи закључак је да је и</w:t>
      </w:r>
      <w:r w:rsidR="00572EC5" w:rsidRPr="00572EC5">
        <w:rPr>
          <w:rFonts w:asciiTheme="minorHAnsi" w:eastAsiaTheme="minorHAnsi" w:hAnsiTheme="minorHAnsi"/>
          <w:color w:val="auto"/>
          <w:sz w:val="20"/>
          <w:szCs w:val="20"/>
          <w:lang w:val="sr-Cyrl-BA" w:eastAsia="en-US"/>
        </w:rPr>
        <w:t xml:space="preserve">зложеност Фонда на дан 31.12.2023. године </w:t>
      </w:r>
      <w:r w:rsidR="00536E78">
        <w:rPr>
          <w:rFonts w:asciiTheme="minorHAnsi" w:eastAsiaTheme="minorHAnsi" w:hAnsiTheme="minorHAnsi"/>
          <w:color w:val="auto"/>
          <w:sz w:val="20"/>
          <w:szCs w:val="20"/>
          <w:lang w:val="sr-Cyrl-BA" w:eastAsia="en-US"/>
        </w:rPr>
        <w:t>према свим финансијским посредницима</w:t>
      </w:r>
      <w:r w:rsidR="00536E78" w:rsidRPr="00572EC5">
        <w:rPr>
          <w:rFonts w:asciiTheme="minorHAnsi" w:eastAsiaTheme="minorHAnsi" w:hAnsiTheme="minorHAnsi"/>
          <w:color w:val="auto"/>
          <w:sz w:val="20"/>
          <w:szCs w:val="20"/>
          <w:lang w:val="sr-Cyrl-BA" w:eastAsia="en-US"/>
        </w:rPr>
        <w:t xml:space="preserve"> са којима Фонд има потписане уговоре о пословно-техничк</w:t>
      </w:r>
      <w:r w:rsidR="00536E78">
        <w:rPr>
          <w:rFonts w:asciiTheme="minorHAnsi" w:eastAsiaTheme="minorHAnsi" w:hAnsiTheme="minorHAnsi"/>
          <w:color w:val="auto"/>
          <w:sz w:val="20"/>
          <w:szCs w:val="20"/>
          <w:lang w:val="sr-Cyrl-BA" w:eastAsia="en-US"/>
        </w:rPr>
        <w:t xml:space="preserve">ој сарадњи </w:t>
      </w:r>
      <w:r w:rsidR="00572EC5" w:rsidRPr="00572EC5">
        <w:rPr>
          <w:rFonts w:asciiTheme="minorHAnsi" w:eastAsiaTheme="minorHAnsi" w:hAnsiTheme="minorHAnsi"/>
          <w:color w:val="auto"/>
          <w:sz w:val="20"/>
          <w:szCs w:val="20"/>
          <w:lang w:val="sr-Cyrl-BA" w:eastAsia="en-US"/>
        </w:rPr>
        <w:t>значајно испод ограничења из члана 14</w:t>
      </w:r>
      <w:r w:rsidR="00E6703F">
        <w:rPr>
          <w:rFonts w:asciiTheme="minorHAnsi" w:eastAsiaTheme="minorHAnsi" w:hAnsiTheme="minorHAnsi"/>
          <w:color w:val="auto"/>
          <w:sz w:val="20"/>
          <w:szCs w:val="20"/>
          <w:lang w:val="sr-Cyrl-BA" w:eastAsia="en-US"/>
        </w:rPr>
        <w:t>,</w:t>
      </w:r>
      <w:r w:rsidR="00572EC5" w:rsidRPr="00572EC5">
        <w:rPr>
          <w:rFonts w:asciiTheme="minorHAnsi" w:eastAsiaTheme="minorHAnsi" w:hAnsiTheme="minorHAnsi"/>
          <w:color w:val="auto"/>
          <w:sz w:val="20"/>
          <w:szCs w:val="20"/>
          <w:lang w:val="sr-Cyrl-BA" w:eastAsia="en-US"/>
        </w:rPr>
        <w:t xml:space="preserve"> став 3 Закона о Гарантном</w:t>
      </w:r>
      <w:r w:rsidR="00E6703F">
        <w:rPr>
          <w:rFonts w:asciiTheme="minorHAnsi" w:eastAsiaTheme="minorHAnsi" w:hAnsiTheme="minorHAnsi"/>
          <w:color w:val="auto"/>
          <w:sz w:val="20"/>
          <w:szCs w:val="20"/>
          <w:lang w:val="sr-Cyrl-BA" w:eastAsia="en-US"/>
        </w:rPr>
        <w:t xml:space="preserve"> фонду Републике Српске</w:t>
      </w:r>
      <w:r w:rsidR="00536E78">
        <w:rPr>
          <w:rFonts w:asciiTheme="minorHAnsi" w:eastAsiaTheme="minorHAnsi" w:hAnsiTheme="minorHAnsi"/>
          <w:color w:val="auto"/>
          <w:sz w:val="20"/>
          <w:szCs w:val="20"/>
          <w:lang w:val="sr-Cyrl-BA" w:eastAsia="en-US"/>
        </w:rPr>
        <w:t>.</w:t>
      </w:r>
    </w:p>
    <w:p w14:paraId="64BE6F73" w14:textId="77777777" w:rsidR="00F30F98" w:rsidRDefault="00F30F98" w:rsidP="001538EF">
      <w:pPr>
        <w:rPr>
          <w:rFonts w:asciiTheme="minorHAnsi" w:hAnsiTheme="minorHAnsi"/>
          <w:sz w:val="20"/>
          <w:szCs w:val="20"/>
          <w:lang w:val="sr-Cyrl-BA"/>
        </w:rPr>
      </w:pPr>
    </w:p>
    <w:p w14:paraId="78C6872F" w14:textId="77777777" w:rsidR="00A944C8" w:rsidRDefault="00A944C8" w:rsidP="001538EF">
      <w:pPr>
        <w:rPr>
          <w:rFonts w:asciiTheme="minorHAnsi" w:hAnsiTheme="minorHAnsi"/>
          <w:sz w:val="20"/>
          <w:szCs w:val="20"/>
          <w:lang w:val="sr-Cyrl-BA"/>
        </w:rPr>
      </w:pPr>
    </w:p>
    <w:p w14:paraId="733D124D" w14:textId="77777777" w:rsidR="00A944C8" w:rsidRDefault="00A944C8" w:rsidP="001538EF">
      <w:pPr>
        <w:rPr>
          <w:rFonts w:asciiTheme="minorHAnsi" w:hAnsiTheme="minorHAnsi"/>
          <w:sz w:val="20"/>
          <w:szCs w:val="20"/>
          <w:lang w:val="sr-Cyrl-BA"/>
        </w:rPr>
      </w:pPr>
    </w:p>
    <w:p w14:paraId="08F41A79" w14:textId="77777777" w:rsidR="00CA6C43" w:rsidRDefault="00CA6C43" w:rsidP="001538EF">
      <w:pPr>
        <w:rPr>
          <w:rFonts w:asciiTheme="minorHAnsi" w:hAnsiTheme="minorHAnsi"/>
          <w:sz w:val="20"/>
          <w:szCs w:val="20"/>
          <w:lang w:val="sr-Cyrl-BA"/>
        </w:rPr>
      </w:pPr>
    </w:p>
    <w:p w14:paraId="17A8493C" w14:textId="77777777" w:rsidR="00CA6C43" w:rsidRDefault="00CA6C43" w:rsidP="001538EF">
      <w:pPr>
        <w:rPr>
          <w:rFonts w:asciiTheme="minorHAnsi" w:hAnsiTheme="minorHAnsi"/>
          <w:sz w:val="20"/>
          <w:szCs w:val="20"/>
          <w:lang w:val="sr-Cyrl-BA"/>
        </w:rPr>
      </w:pPr>
    </w:p>
    <w:p w14:paraId="2E0E3BE5" w14:textId="77777777" w:rsidR="00CA6C43" w:rsidRDefault="00CA6C43" w:rsidP="001538EF">
      <w:pPr>
        <w:rPr>
          <w:rFonts w:asciiTheme="minorHAnsi" w:hAnsiTheme="minorHAnsi"/>
          <w:sz w:val="20"/>
          <w:szCs w:val="20"/>
          <w:lang w:val="sr-Cyrl-BA"/>
        </w:rPr>
      </w:pPr>
    </w:p>
    <w:p w14:paraId="731C8366" w14:textId="77777777" w:rsidR="00CA6C43" w:rsidRDefault="00CA6C43" w:rsidP="001538EF">
      <w:pPr>
        <w:rPr>
          <w:rFonts w:asciiTheme="minorHAnsi" w:hAnsiTheme="minorHAnsi"/>
          <w:sz w:val="20"/>
          <w:szCs w:val="20"/>
          <w:lang w:val="sr-Cyrl-BA"/>
        </w:rPr>
      </w:pPr>
    </w:p>
    <w:p w14:paraId="27E9DDA3" w14:textId="77777777" w:rsidR="00CA6C43" w:rsidRDefault="00CA6C43" w:rsidP="001538EF">
      <w:pPr>
        <w:rPr>
          <w:rFonts w:asciiTheme="minorHAnsi" w:hAnsiTheme="minorHAnsi"/>
          <w:sz w:val="20"/>
          <w:szCs w:val="20"/>
          <w:lang w:val="sr-Cyrl-BA"/>
        </w:rPr>
      </w:pPr>
    </w:p>
    <w:p w14:paraId="51E87A2D" w14:textId="77777777" w:rsidR="00CA6C43" w:rsidRDefault="00CA6C43" w:rsidP="001538EF">
      <w:pPr>
        <w:rPr>
          <w:rFonts w:asciiTheme="minorHAnsi" w:hAnsiTheme="minorHAnsi"/>
          <w:sz w:val="20"/>
          <w:szCs w:val="20"/>
          <w:lang w:val="sr-Cyrl-BA"/>
        </w:rPr>
      </w:pPr>
    </w:p>
    <w:p w14:paraId="5EA3E085" w14:textId="77777777" w:rsidR="00572EC5" w:rsidRDefault="00572EC5" w:rsidP="001538EF">
      <w:pPr>
        <w:rPr>
          <w:rFonts w:asciiTheme="minorHAnsi" w:hAnsiTheme="minorHAnsi"/>
          <w:sz w:val="20"/>
          <w:szCs w:val="20"/>
          <w:lang w:val="sr-Cyrl-BA"/>
        </w:rPr>
      </w:pPr>
    </w:p>
    <w:p w14:paraId="4FE935CB" w14:textId="77777777" w:rsidR="00572EC5" w:rsidRDefault="00572EC5" w:rsidP="001538EF">
      <w:pPr>
        <w:rPr>
          <w:rFonts w:asciiTheme="minorHAnsi" w:hAnsiTheme="minorHAnsi"/>
          <w:sz w:val="20"/>
          <w:szCs w:val="20"/>
          <w:lang w:val="sr-Cyrl-BA"/>
        </w:rPr>
      </w:pPr>
    </w:p>
    <w:p w14:paraId="40C180AB" w14:textId="77777777" w:rsidR="00572EC5" w:rsidRDefault="00572EC5" w:rsidP="001538EF">
      <w:pPr>
        <w:rPr>
          <w:rFonts w:asciiTheme="minorHAnsi" w:hAnsiTheme="minorHAnsi"/>
          <w:sz w:val="20"/>
          <w:szCs w:val="20"/>
          <w:lang w:val="sr-Cyrl-BA"/>
        </w:rPr>
      </w:pPr>
    </w:p>
    <w:p w14:paraId="5A71E461" w14:textId="77777777" w:rsidR="00572EC5" w:rsidRDefault="00572EC5" w:rsidP="001538EF">
      <w:pPr>
        <w:rPr>
          <w:rFonts w:asciiTheme="minorHAnsi" w:hAnsiTheme="minorHAnsi"/>
          <w:sz w:val="20"/>
          <w:szCs w:val="20"/>
          <w:lang w:val="sr-Cyrl-BA"/>
        </w:rPr>
      </w:pPr>
    </w:p>
    <w:p w14:paraId="5E534949" w14:textId="77777777" w:rsidR="00572EC5" w:rsidRDefault="00572EC5" w:rsidP="001538EF">
      <w:pPr>
        <w:rPr>
          <w:rFonts w:asciiTheme="minorHAnsi" w:hAnsiTheme="minorHAnsi"/>
          <w:sz w:val="20"/>
          <w:szCs w:val="20"/>
          <w:lang w:val="sr-Cyrl-BA"/>
        </w:rPr>
      </w:pPr>
    </w:p>
    <w:p w14:paraId="3C2F4C83" w14:textId="77777777" w:rsidR="00572EC5" w:rsidRDefault="00572EC5" w:rsidP="001538EF">
      <w:pPr>
        <w:rPr>
          <w:rFonts w:asciiTheme="minorHAnsi" w:hAnsiTheme="minorHAnsi"/>
          <w:sz w:val="20"/>
          <w:szCs w:val="20"/>
          <w:lang w:val="sr-Cyrl-BA"/>
        </w:rPr>
      </w:pPr>
    </w:p>
    <w:p w14:paraId="7D971301" w14:textId="77777777" w:rsidR="00572EC5" w:rsidRDefault="00572EC5" w:rsidP="001538EF">
      <w:pPr>
        <w:rPr>
          <w:rFonts w:asciiTheme="minorHAnsi" w:hAnsiTheme="minorHAnsi"/>
          <w:sz w:val="20"/>
          <w:szCs w:val="20"/>
          <w:lang w:val="sr-Cyrl-BA"/>
        </w:rPr>
      </w:pPr>
    </w:p>
    <w:p w14:paraId="27C11044" w14:textId="77777777" w:rsidR="00572EC5" w:rsidRDefault="00572EC5" w:rsidP="001538EF">
      <w:pPr>
        <w:rPr>
          <w:rFonts w:asciiTheme="minorHAnsi" w:hAnsiTheme="minorHAnsi"/>
          <w:sz w:val="20"/>
          <w:szCs w:val="20"/>
          <w:lang w:val="sr-Cyrl-BA"/>
        </w:rPr>
      </w:pPr>
    </w:p>
    <w:p w14:paraId="3499C0C5" w14:textId="77777777" w:rsidR="00572EC5" w:rsidRDefault="00572EC5" w:rsidP="001538EF">
      <w:pPr>
        <w:rPr>
          <w:rFonts w:asciiTheme="minorHAnsi" w:hAnsiTheme="minorHAnsi"/>
          <w:sz w:val="20"/>
          <w:szCs w:val="20"/>
          <w:lang w:val="sr-Cyrl-BA"/>
        </w:rPr>
      </w:pPr>
    </w:p>
    <w:p w14:paraId="098504A9" w14:textId="77777777" w:rsidR="00572EC5" w:rsidRDefault="00572EC5" w:rsidP="001538EF">
      <w:pPr>
        <w:rPr>
          <w:rFonts w:asciiTheme="minorHAnsi" w:hAnsiTheme="minorHAnsi"/>
          <w:sz w:val="20"/>
          <w:szCs w:val="20"/>
          <w:lang w:val="sr-Cyrl-BA"/>
        </w:rPr>
      </w:pPr>
    </w:p>
    <w:p w14:paraId="4F10789F" w14:textId="77777777" w:rsidR="00572EC5" w:rsidRDefault="00572EC5" w:rsidP="001538EF">
      <w:pPr>
        <w:rPr>
          <w:rFonts w:asciiTheme="minorHAnsi" w:hAnsiTheme="minorHAnsi"/>
          <w:sz w:val="20"/>
          <w:szCs w:val="20"/>
          <w:lang w:val="sr-Cyrl-BA"/>
        </w:rPr>
      </w:pPr>
    </w:p>
    <w:p w14:paraId="45F05290" w14:textId="77777777" w:rsidR="00572EC5" w:rsidRDefault="00572EC5" w:rsidP="001538EF">
      <w:pPr>
        <w:rPr>
          <w:rFonts w:asciiTheme="minorHAnsi" w:hAnsiTheme="minorHAnsi"/>
          <w:sz w:val="20"/>
          <w:szCs w:val="20"/>
          <w:lang w:val="sr-Cyrl-BA"/>
        </w:rPr>
      </w:pPr>
    </w:p>
    <w:p w14:paraId="2F9C403F" w14:textId="77777777" w:rsidR="00572EC5" w:rsidRDefault="00572EC5" w:rsidP="001538EF">
      <w:pPr>
        <w:rPr>
          <w:rFonts w:asciiTheme="minorHAnsi" w:hAnsiTheme="minorHAnsi"/>
          <w:sz w:val="20"/>
          <w:szCs w:val="20"/>
          <w:lang w:val="sr-Cyrl-BA"/>
        </w:rPr>
      </w:pPr>
    </w:p>
    <w:p w14:paraId="185973E0" w14:textId="77777777" w:rsidR="00572EC5" w:rsidRDefault="00572EC5" w:rsidP="001538EF">
      <w:pPr>
        <w:rPr>
          <w:rFonts w:asciiTheme="minorHAnsi" w:hAnsiTheme="minorHAnsi"/>
          <w:sz w:val="20"/>
          <w:szCs w:val="20"/>
          <w:lang w:val="sr-Cyrl-BA"/>
        </w:rPr>
      </w:pPr>
    </w:p>
    <w:p w14:paraId="3ABF1AB0" w14:textId="77777777" w:rsidR="00572EC5" w:rsidRDefault="00572EC5" w:rsidP="001538EF">
      <w:pPr>
        <w:rPr>
          <w:rFonts w:asciiTheme="minorHAnsi" w:hAnsiTheme="minorHAnsi"/>
          <w:sz w:val="20"/>
          <w:szCs w:val="20"/>
          <w:lang w:val="sr-Cyrl-BA"/>
        </w:rPr>
      </w:pPr>
    </w:p>
    <w:p w14:paraId="506FA243" w14:textId="77777777" w:rsidR="00572EC5" w:rsidRDefault="00572EC5" w:rsidP="001538EF">
      <w:pPr>
        <w:rPr>
          <w:rFonts w:asciiTheme="minorHAnsi" w:hAnsiTheme="minorHAnsi"/>
          <w:sz w:val="20"/>
          <w:szCs w:val="20"/>
          <w:lang w:val="sr-Cyrl-BA"/>
        </w:rPr>
      </w:pPr>
    </w:p>
    <w:p w14:paraId="65B0B363" w14:textId="77777777" w:rsidR="00572EC5" w:rsidRDefault="00572EC5" w:rsidP="001538EF">
      <w:pPr>
        <w:rPr>
          <w:rFonts w:asciiTheme="minorHAnsi" w:hAnsiTheme="minorHAnsi"/>
          <w:sz w:val="20"/>
          <w:szCs w:val="20"/>
          <w:lang w:val="sr-Cyrl-BA"/>
        </w:rPr>
      </w:pPr>
    </w:p>
    <w:p w14:paraId="46DECF01" w14:textId="77777777" w:rsidR="00572EC5" w:rsidRDefault="00572EC5" w:rsidP="001538EF">
      <w:pPr>
        <w:rPr>
          <w:rFonts w:asciiTheme="minorHAnsi" w:hAnsiTheme="minorHAnsi"/>
          <w:sz w:val="20"/>
          <w:szCs w:val="20"/>
          <w:lang w:val="sr-Cyrl-BA"/>
        </w:rPr>
      </w:pPr>
    </w:p>
    <w:p w14:paraId="6CB844BC" w14:textId="77777777" w:rsidR="00572EC5" w:rsidRDefault="00572EC5" w:rsidP="001538EF">
      <w:pPr>
        <w:rPr>
          <w:rFonts w:asciiTheme="minorHAnsi" w:hAnsiTheme="minorHAnsi"/>
          <w:sz w:val="20"/>
          <w:szCs w:val="20"/>
          <w:lang w:val="sr-Cyrl-BA"/>
        </w:rPr>
      </w:pPr>
    </w:p>
    <w:p w14:paraId="7431C54C" w14:textId="77777777" w:rsidR="00572EC5" w:rsidRDefault="00572EC5" w:rsidP="001538EF">
      <w:pPr>
        <w:rPr>
          <w:rFonts w:asciiTheme="minorHAnsi" w:hAnsiTheme="minorHAnsi"/>
          <w:sz w:val="20"/>
          <w:szCs w:val="20"/>
          <w:lang w:val="sr-Cyrl-BA"/>
        </w:rPr>
      </w:pPr>
    </w:p>
    <w:p w14:paraId="346AEF1E" w14:textId="77777777" w:rsidR="00572EC5" w:rsidRDefault="00572EC5" w:rsidP="001538EF">
      <w:pPr>
        <w:rPr>
          <w:rFonts w:asciiTheme="minorHAnsi" w:hAnsiTheme="minorHAnsi"/>
          <w:sz w:val="20"/>
          <w:szCs w:val="20"/>
          <w:lang w:val="sr-Cyrl-BA"/>
        </w:rPr>
      </w:pPr>
    </w:p>
    <w:p w14:paraId="05642B24" w14:textId="77777777" w:rsidR="00572EC5" w:rsidRDefault="00572EC5" w:rsidP="001538EF">
      <w:pPr>
        <w:rPr>
          <w:rFonts w:asciiTheme="minorHAnsi" w:hAnsiTheme="minorHAnsi"/>
          <w:sz w:val="20"/>
          <w:szCs w:val="20"/>
          <w:lang w:val="sr-Cyrl-BA"/>
        </w:rPr>
      </w:pPr>
    </w:p>
    <w:p w14:paraId="6ED7C45D" w14:textId="77777777" w:rsidR="00572EC5" w:rsidRDefault="00572EC5" w:rsidP="001538EF">
      <w:pPr>
        <w:rPr>
          <w:rFonts w:asciiTheme="minorHAnsi" w:hAnsiTheme="minorHAnsi"/>
          <w:sz w:val="20"/>
          <w:szCs w:val="20"/>
          <w:lang w:val="sr-Cyrl-BA"/>
        </w:rPr>
      </w:pPr>
    </w:p>
    <w:p w14:paraId="66951E24" w14:textId="77777777" w:rsidR="00572EC5" w:rsidRDefault="00572EC5" w:rsidP="001538EF">
      <w:pPr>
        <w:rPr>
          <w:rFonts w:asciiTheme="minorHAnsi" w:hAnsiTheme="minorHAnsi"/>
          <w:sz w:val="20"/>
          <w:szCs w:val="20"/>
          <w:lang w:val="sr-Cyrl-BA"/>
        </w:rPr>
      </w:pPr>
    </w:p>
    <w:p w14:paraId="01B23CC0" w14:textId="77777777" w:rsidR="00572EC5" w:rsidRDefault="00572EC5" w:rsidP="001538EF">
      <w:pPr>
        <w:rPr>
          <w:rFonts w:asciiTheme="minorHAnsi" w:hAnsiTheme="minorHAnsi"/>
          <w:sz w:val="20"/>
          <w:szCs w:val="20"/>
          <w:lang w:val="sr-Cyrl-BA"/>
        </w:rPr>
      </w:pPr>
    </w:p>
    <w:p w14:paraId="2DD133EB" w14:textId="77777777" w:rsidR="00572EC5" w:rsidRDefault="00572EC5" w:rsidP="001538EF">
      <w:pPr>
        <w:rPr>
          <w:rFonts w:asciiTheme="minorHAnsi" w:hAnsiTheme="minorHAnsi"/>
          <w:sz w:val="20"/>
          <w:szCs w:val="20"/>
          <w:lang w:val="sr-Cyrl-BA"/>
        </w:rPr>
      </w:pPr>
    </w:p>
    <w:p w14:paraId="4DC1919E" w14:textId="77777777" w:rsidR="00572EC5" w:rsidRDefault="00572EC5" w:rsidP="001538EF">
      <w:pPr>
        <w:rPr>
          <w:rFonts w:asciiTheme="minorHAnsi" w:hAnsiTheme="minorHAnsi"/>
          <w:sz w:val="20"/>
          <w:szCs w:val="20"/>
          <w:lang w:val="sr-Cyrl-BA"/>
        </w:rPr>
      </w:pPr>
    </w:p>
    <w:p w14:paraId="15FC43AD" w14:textId="77777777" w:rsidR="00572EC5" w:rsidRDefault="00572EC5" w:rsidP="001538EF">
      <w:pPr>
        <w:rPr>
          <w:rFonts w:asciiTheme="minorHAnsi" w:hAnsiTheme="minorHAnsi"/>
          <w:sz w:val="20"/>
          <w:szCs w:val="20"/>
          <w:lang w:val="sr-Cyrl-BA"/>
        </w:rPr>
      </w:pPr>
    </w:p>
    <w:p w14:paraId="09BCFF32" w14:textId="77777777" w:rsidR="00572EC5" w:rsidRDefault="00572EC5" w:rsidP="001538EF">
      <w:pPr>
        <w:rPr>
          <w:rFonts w:asciiTheme="minorHAnsi" w:hAnsiTheme="minorHAnsi"/>
          <w:sz w:val="20"/>
          <w:szCs w:val="20"/>
          <w:lang w:val="sr-Cyrl-BA"/>
        </w:rPr>
      </w:pPr>
    </w:p>
    <w:p w14:paraId="3296CF3F" w14:textId="77777777" w:rsidR="00572EC5" w:rsidRDefault="00572EC5" w:rsidP="001538EF">
      <w:pPr>
        <w:rPr>
          <w:rFonts w:asciiTheme="minorHAnsi" w:hAnsiTheme="minorHAnsi"/>
          <w:sz w:val="20"/>
          <w:szCs w:val="20"/>
          <w:lang w:val="sr-Cyrl-BA"/>
        </w:rPr>
      </w:pPr>
    </w:p>
    <w:p w14:paraId="5E99728F" w14:textId="77777777" w:rsidR="00572EC5" w:rsidRDefault="00572EC5" w:rsidP="001538EF">
      <w:pPr>
        <w:rPr>
          <w:rFonts w:asciiTheme="minorHAnsi" w:hAnsiTheme="minorHAnsi"/>
          <w:sz w:val="20"/>
          <w:szCs w:val="20"/>
          <w:lang w:val="sr-Cyrl-BA"/>
        </w:rPr>
      </w:pPr>
    </w:p>
    <w:p w14:paraId="3FCCCD83" w14:textId="77777777" w:rsidR="005D2C1F" w:rsidRDefault="005D2C1F" w:rsidP="001538EF">
      <w:pPr>
        <w:rPr>
          <w:rFonts w:asciiTheme="minorHAnsi" w:hAnsiTheme="minorHAnsi"/>
          <w:sz w:val="20"/>
          <w:szCs w:val="20"/>
          <w:lang w:val="sr-Cyrl-BA"/>
        </w:rPr>
      </w:pPr>
    </w:p>
    <w:p w14:paraId="2EF4F435" w14:textId="77777777" w:rsidR="005D2C1F" w:rsidRDefault="005D2C1F" w:rsidP="001538EF">
      <w:pPr>
        <w:rPr>
          <w:rFonts w:asciiTheme="minorHAnsi" w:hAnsiTheme="minorHAnsi"/>
          <w:sz w:val="20"/>
          <w:szCs w:val="20"/>
          <w:lang w:val="sr-Cyrl-BA"/>
        </w:rPr>
      </w:pPr>
    </w:p>
    <w:p w14:paraId="06495206" w14:textId="77777777" w:rsidR="00572EC5" w:rsidRDefault="00572EC5" w:rsidP="001538EF">
      <w:pPr>
        <w:rPr>
          <w:rFonts w:asciiTheme="minorHAnsi" w:hAnsiTheme="minorHAnsi"/>
          <w:sz w:val="20"/>
          <w:szCs w:val="20"/>
          <w:lang w:val="sr-Cyrl-BA"/>
        </w:rPr>
      </w:pPr>
    </w:p>
    <w:p w14:paraId="45DC6F92" w14:textId="77777777" w:rsidR="00CA6C43" w:rsidRDefault="00CA6C43" w:rsidP="001538EF">
      <w:pPr>
        <w:rPr>
          <w:rFonts w:asciiTheme="minorHAnsi" w:hAnsiTheme="minorHAnsi"/>
          <w:sz w:val="20"/>
          <w:szCs w:val="20"/>
          <w:lang w:val="sr-Cyrl-BA"/>
        </w:rPr>
      </w:pPr>
    </w:p>
    <w:p w14:paraId="34B10124" w14:textId="77777777" w:rsidR="00A944C8" w:rsidRPr="005767EF" w:rsidRDefault="00A944C8" w:rsidP="001538EF">
      <w:pPr>
        <w:rPr>
          <w:rFonts w:asciiTheme="minorHAnsi" w:hAnsiTheme="minorHAnsi"/>
          <w:sz w:val="20"/>
          <w:szCs w:val="20"/>
          <w:lang w:val="sr-Cyrl-BA"/>
        </w:rPr>
      </w:pPr>
    </w:p>
    <w:p w14:paraId="05859866" w14:textId="77777777" w:rsidR="001538EF" w:rsidRPr="00301192" w:rsidRDefault="00E84021" w:rsidP="00E84021">
      <w:pPr>
        <w:pStyle w:val="Heading2"/>
        <w:numPr>
          <w:ilvl w:val="0"/>
          <w:numId w:val="0"/>
        </w:numPr>
        <w:ind w:left="576" w:hanging="576"/>
        <w:rPr>
          <w:rFonts w:asciiTheme="minorHAnsi" w:hAnsiTheme="minorHAnsi"/>
          <w:caps/>
          <w:szCs w:val="20"/>
          <w:lang w:val="sr-Latn-RS" w:eastAsia="en-US"/>
        </w:rPr>
      </w:pPr>
      <w:bookmarkStart w:id="10" w:name="_Toc135292173"/>
      <w:r w:rsidRPr="00301192">
        <w:rPr>
          <w:rFonts w:asciiTheme="minorHAnsi" w:hAnsiTheme="minorHAnsi"/>
          <w:caps/>
          <w:szCs w:val="20"/>
          <w:lang w:val="sr-Cyrl-RS"/>
        </w:rPr>
        <w:t xml:space="preserve">2.5. </w:t>
      </w:r>
      <w:r w:rsidR="001538EF" w:rsidRPr="00301192">
        <w:rPr>
          <w:rFonts w:asciiTheme="minorHAnsi" w:hAnsiTheme="minorHAnsi"/>
          <w:caps/>
          <w:szCs w:val="20"/>
        </w:rPr>
        <w:t xml:space="preserve">анализа изданих гаранција из </w:t>
      </w:r>
      <w:r w:rsidR="001C27A1" w:rsidRPr="00301192">
        <w:rPr>
          <w:rFonts w:asciiTheme="minorHAnsi" w:hAnsiTheme="minorHAnsi"/>
          <w:caps/>
          <w:szCs w:val="20"/>
          <w:lang w:val="sr-Cyrl-RS"/>
        </w:rPr>
        <w:t xml:space="preserve">ГАРАНТНОГ </w:t>
      </w:r>
      <w:r w:rsidR="001538EF" w:rsidRPr="00301192">
        <w:rPr>
          <w:rFonts w:asciiTheme="minorHAnsi" w:hAnsiTheme="minorHAnsi"/>
          <w:caps/>
          <w:szCs w:val="20"/>
        </w:rPr>
        <w:t xml:space="preserve">програма </w:t>
      </w:r>
      <w:r w:rsidR="00545FA4" w:rsidRPr="00301192">
        <w:rPr>
          <w:rFonts w:asciiTheme="minorHAnsi" w:hAnsiTheme="minorHAnsi"/>
          <w:caps/>
          <w:szCs w:val="20"/>
          <w:lang w:val="sr-Cyrl-BA"/>
        </w:rPr>
        <w:t>COVID-19 на дан 31.12.2023</w:t>
      </w:r>
      <w:r w:rsidR="001538EF" w:rsidRPr="00301192">
        <w:rPr>
          <w:rFonts w:asciiTheme="minorHAnsi" w:hAnsiTheme="minorHAnsi"/>
          <w:caps/>
          <w:szCs w:val="20"/>
          <w:lang w:val="sr-Cyrl-BA"/>
        </w:rPr>
        <w:t>. године</w:t>
      </w:r>
      <w:bookmarkEnd w:id="10"/>
    </w:p>
    <w:p w14:paraId="71343E1E" w14:textId="77777777" w:rsidR="001538EF" w:rsidRPr="001C27A1" w:rsidRDefault="001538EF" w:rsidP="001C27A1">
      <w:pPr>
        <w:jc w:val="left"/>
        <w:rPr>
          <w:rFonts w:asciiTheme="minorHAnsi" w:hAnsiTheme="minorHAnsi"/>
          <w:sz w:val="20"/>
          <w:szCs w:val="20"/>
          <w:lang w:val="sr-Cyrl-BA"/>
        </w:rPr>
      </w:pPr>
    </w:p>
    <w:p w14:paraId="7C400685" w14:textId="77777777" w:rsidR="00545FA4" w:rsidRDefault="00545FA4" w:rsidP="00545FA4">
      <w:pPr>
        <w:autoSpaceDE w:val="0"/>
        <w:autoSpaceDN w:val="0"/>
        <w:adjustRightInd w:val="0"/>
        <w:rPr>
          <w:rFonts w:asciiTheme="minorHAnsi" w:hAnsiTheme="minorHAnsi"/>
          <w:noProof/>
          <w:color w:val="auto"/>
          <w:sz w:val="20"/>
          <w:szCs w:val="20"/>
          <w:lang w:val="sr-Cyrl-RS"/>
        </w:rPr>
      </w:pPr>
      <w:r w:rsidRPr="001C27A1">
        <w:rPr>
          <w:rFonts w:asciiTheme="minorHAnsi" w:hAnsiTheme="minorHAnsi"/>
          <w:noProof/>
          <w:color w:val="auto"/>
          <w:sz w:val="20"/>
          <w:szCs w:val="20"/>
          <w:lang w:val="sr-Cyrl-RS"/>
        </w:rPr>
        <w:t>Уредбом са законском снагом о допунама Закона о Гарантном фонду Републике Српске од 8. маја 2020. године (</w:t>
      </w:r>
      <w:r w:rsidRPr="001C27A1">
        <w:rPr>
          <w:rFonts w:asciiTheme="minorHAnsi" w:eastAsiaTheme="minorHAnsi" w:hAnsiTheme="minorHAnsi"/>
          <w:sz w:val="20"/>
          <w:szCs w:val="20"/>
          <w:lang w:val="sr-Cyrl-BA" w:eastAsia="en-US"/>
        </w:rPr>
        <w:t xml:space="preserve">Службени гласник Републике Српске број 44/20) и </w:t>
      </w:r>
      <w:r w:rsidRPr="001C27A1">
        <w:rPr>
          <w:rFonts w:asciiTheme="minorHAnsi" w:hAnsiTheme="minorHAnsi"/>
          <w:noProof/>
          <w:color w:val="auto"/>
          <w:sz w:val="20"/>
          <w:szCs w:val="20"/>
          <w:lang w:val="sr-Cyrl-RS"/>
        </w:rPr>
        <w:t>Одлуком Народне скупштине Републике Српске о утврђивању Уредбе са законском снагом о допунама  Закона о Гарантном фонду Републике Српске ( „Службени гласник Републике Српске“  53/20)</w:t>
      </w:r>
      <w:r w:rsidRPr="001C27A1">
        <w:rPr>
          <w:rFonts w:asciiTheme="minorHAnsi" w:hAnsiTheme="minorHAnsi"/>
          <w:noProof/>
          <w:color w:val="auto"/>
          <w:sz w:val="20"/>
          <w:szCs w:val="20"/>
        </w:rPr>
        <w:t xml:space="preserve">, </w:t>
      </w:r>
      <w:r w:rsidRPr="001C27A1">
        <w:rPr>
          <w:rFonts w:asciiTheme="minorHAnsi" w:hAnsiTheme="minorHAnsi"/>
          <w:noProof/>
          <w:color w:val="auto"/>
          <w:sz w:val="20"/>
          <w:szCs w:val="20"/>
          <w:lang w:val="sr-Cyrl-RS"/>
        </w:rPr>
        <w:t>дефинисана је улога Гарантног фонда Републике Српске у провођењу гарантног програма који организује Република Српска у општем економском интересу, ради олакшања приступа финансијским средствима и ублажавања посљедица наступања посебних околности на привреду Републике Српске, укључујући ванредно стање или ванредну ситуацију, на начин да Фонд може обављати стручне и административно-техничке послове и управљати гарантним програмима које организује Република Српска.</w:t>
      </w:r>
    </w:p>
    <w:p w14:paraId="3F4725CF" w14:textId="77777777" w:rsidR="001C27A1" w:rsidRPr="001C27A1" w:rsidRDefault="001C27A1" w:rsidP="00545FA4">
      <w:pPr>
        <w:autoSpaceDE w:val="0"/>
        <w:autoSpaceDN w:val="0"/>
        <w:adjustRightInd w:val="0"/>
        <w:rPr>
          <w:rFonts w:asciiTheme="minorHAnsi" w:hAnsiTheme="minorHAnsi"/>
          <w:sz w:val="20"/>
          <w:szCs w:val="20"/>
          <w:lang w:val="sr-Cyrl-BA"/>
        </w:rPr>
      </w:pPr>
    </w:p>
    <w:p w14:paraId="27825C07" w14:textId="77777777" w:rsidR="00545FA4" w:rsidRDefault="00545FA4" w:rsidP="00545FA4">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sz w:val="20"/>
          <w:szCs w:val="20"/>
          <w:lang w:val="sr-Cyrl-BA" w:eastAsia="en-US"/>
        </w:rPr>
        <w:t>О</w:t>
      </w:r>
      <w:r w:rsidRPr="001C27A1">
        <w:rPr>
          <w:rFonts w:asciiTheme="minorHAnsi" w:eastAsiaTheme="minorHAnsi" w:hAnsiTheme="minorHAnsi"/>
          <w:sz w:val="20"/>
          <w:szCs w:val="20"/>
          <w:lang w:val="sr-Latn-RS" w:eastAsia="en-US"/>
        </w:rPr>
        <w:t>длуком Влад</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 xml:space="preserve"> Републике Српске </w:t>
      </w:r>
      <w:r w:rsidRPr="001C27A1">
        <w:rPr>
          <w:rFonts w:asciiTheme="minorHAnsi" w:eastAsiaTheme="minorHAnsi" w:hAnsiTheme="minorHAnsi"/>
          <w:sz w:val="20"/>
          <w:szCs w:val="20"/>
          <w:lang w:val="sr-Cyrl-BA" w:eastAsia="en-US"/>
        </w:rPr>
        <w:t xml:space="preserve">од 02.07.2020. године (Службени гласник Републике Српске број 64/20) организован је </w:t>
      </w:r>
      <w:r w:rsidRPr="001C27A1">
        <w:rPr>
          <w:rFonts w:asciiTheme="minorHAnsi" w:eastAsiaTheme="minorHAnsi" w:hAnsiTheme="minorHAnsi"/>
          <w:sz w:val="20"/>
          <w:szCs w:val="20"/>
          <w:lang w:val="sr-Latn-RS" w:eastAsia="en-US"/>
        </w:rPr>
        <w:t xml:space="preserve"> Гарантни програм подршке привр</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ди за</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sz w:val="20"/>
          <w:szCs w:val="20"/>
          <w:lang w:val="sr-Latn-RS" w:eastAsia="en-US"/>
        </w:rPr>
        <w:t>ублажавање посљедица пандемије болести COVID</w:t>
      </w:r>
      <w:r w:rsidRPr="001C27A1">
        <w:rPr>
          <w:rFonts w:asciiTheme="minorHAnsi" w:eastAsiaTheme="minorHAnsi" w:hAnsiTheme="minorHAnsi"/>
          <w:sz w:val="20"/>
          <w:szCs w:val="20"/>
          <w:lang w:val="sr-Cyrl-BA" w:eastAsia="en-US"/>
        </w:rPr>
        <w:t>-</w:t>
      </w:r>
      <w:r w:rsidRPr="001C27A1">
        <w:rPr>
          <w:rFonts w:asciiTheme="minorHAnsi" w:eastAsiaTheme="minorHAnsi" w:hAnsiTheme="minorHAnsi"/>
          <w:sz w:val="20"/>
          <w:szCs w:val="20"/>
          <w:lang w:val="sr-Latn-RS" w:eastAsia="en-US"/>
        </w:rPr>
        <w:t>19</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color w:val="auto"/>
          <w:sz w:val="20"/>
          <w:szCs w:val="20"/>
          <w:lang w:val="sr-Latn-RS" w:eastAsia="en-US"/>
        </w:rPr>
        <w:t>као једн</w:t>
      </w:r>
      <w:r w:rsidRPr="001C27A1">
        <w:rPr>
          <w:rFonts w:asciiTheme="minorHAnsi" w:eastAsiaTheme="minorHAnsi" w:hAnsiTheme="minorHAnsi"/>
          <w:color w:val="auto"/>
          <w:sz w:val="20"/>
          <w:szCs w:val="20"/>
          <w:lang w:val="sr-Cyrl-RS" w:eastAsia="en-US"/>
        </w:rPr>
        <w:t>а</w:t>
      </w:r>
      <w:r w:rsidRPr="001C27A1">
        <w:rPr>
          <w:rFonts w:asciiTheme="minorHAnsi" w:eastAsiaTheme="minorHAnsi" w:hAnsiTheme="minorHAnsi"/>
          <w:color w:val="auto"/>
          <w:sz w:val="20"/>
          <w:szCs w:val="20"/>
          <w:lang w:val="sr-Latn-RS" w:eastAsia="en-US"/>
        </w:rPr>
        <w:t xml:space="preserve"> од мјера подршке привреди ради ублажавања економских посљедица и спречавања веће економск</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шт</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те </w:t>
      </w:r>
      <w:r w:rsidRPr="001C27A1">
        <w:rPr>
          <w:rFonts w:asciiTheme="minorHAnsi" w:eastAsiaTheme="minorHAnsi" w:hAnsiTheme="minorHAnsi"/>
          <w:color w:val="auto"/>
          <w:sz w:val="20"/>
          <w:szCs w:val="20"/>
          <w:lang w:val="sr-Cyrl-RS" w:eastAsia="en-US"/>
        </w:rPr>
        <w:t xml:space="preserve">узроковане </w:t>
      </w:r>
      <w:r w:rsidRPr="001C27A1">
        <w:rPr>
          <w:rFonts w:asciiTheme="minorHAnsi" w:eastAsiaTheme="minorHAnsi" w:hAnsiTheme="minorHAnsi"/>
          <w:color w:val="auto"/>
          <w:sz w:val="20"/>
          <w:szCs w:val="20"/>
          <w:lang w:val="sr-Latn-RS" w:eastAsia="en-US"/>
        </w:rPr>
        <w:t>боле</w:t>
      </w:r>
      <w:r w:rsidRPr="001C27A1">
        <w:rPr>
          <w:rFonts w:asciiTheme="minorHAnsi" w:eastAsiaTheme="minorHAnsi" w:hAnsiTheme="minorHAnsi"/>
          <w:color w:val="auto"/>
          <w:sz w:val="20"/>
          <w:szCs w:val="20"/>
          <w:lang w:val="sr-Cyrl-RS" w:eastAsia="en-US"/>
        </w:rPr>
        <w:t>шћу</w:t>
      </w:r>
      <w:r w:rsidRPr="001C27A1">
        <w:rPr>
          <w:rFonts w:asciiTheme="minorHAnsi" w:eastAsiaTheme="minorHAnsi" w:hAnsiTheme="minorHAnsi"/>
          <w:color w:val="auto"/>
          <w:sz w:val="20"/>
          <w:szCs w:val="20"/>
          <w:lang w:val="sr-Latn-RS"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изазване вирусом SARS-CoV-2</w:t>
      </w:r>
      <w:r w:rsidRPr="001C27A1">
        <w:rPr>
          <w:rFonts w:asciiTheme="minorHAnsi" w:eastAsiaTheme="minorHAnsi" w:hAnsiTheme="minorHAnsi"/>
          <w:sz w:val="20"/>
          <w:szCs w:val="20"/>
          <w:lang w:val="sr-Cyrl-BA" w:eastAsia="en-US"/>
        </w:rPr>
        <w:t>.</w:t>
      </w:r>
    </w:p>
    <w:p w14:paraId="4F114C9D" w14:textId="77777777" w:rsidR="001C27A1" w:rsidRPr="001C27A1" w:rsidRDefault="001C27A1" w:rsidP="00545FA4">
      <w:pPr>
        <w:autoSpaceDE w:val="0"/>
        <w:autoSpaceDN w:val="0"/>
        <w:adjustRightInd w:val="0"/>
        <w:rPr>
          <w:rFonts w:asciiTheme="minorHAnsi" w:eastAsiaTheme="minorHAnsi" w:hAnsiTheme="minorHAnsi"/>
          <w:sz w:val="20"/>
          <w:szCs w:val="20"/>
          <w:lang w:val="sr-Cyrl-BA" w:eastAsia="en-US"/>
        </w:rPr>
      </w:pPr>
    </w:p>
    <w:p w14:paraId="65B4F53B" w14:textId="77777777" w:rsidR="00545FA4" w:rsidRDefault="00545FA4" w:rsidP="00545FA4">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color w:val="auto"/>
          <w:sz w:val="20"/>
          <w:szCs w:val="20"/>
          <w:lang w:val="sr-Latn-RS" w:eastAsia="en-US"/>
        </w:rPr>
        <w:t>Циљ Гарантног програма</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BA" w:eastAsia="en-US"/>
        </w:rPr>
        <w:t>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RS" w:eastAsia="en-US"/>
        </w:rPr>
        <w:t xml:space="preserve"> је олакшавање приступа финансијским средствима за привредне субјекте – </w:t>
      </w:r>
      <w:r w:rsidRPr="001C27A1">
        <w:rPr>
          <w:rFonts w:asciiTheme="minorHAnsi" w:eastAsiaTheme="minorHAnsi" w:hAnsiTheme="minorHAnsi"/>
          <w:color w:val="auto"/>
          <w:sz w:val="20"/>
          <w:szCs w:val="20"/>
          <w:lang w:val="sr-Cyrl-RS" w:eastAsia="en-US"/>
        </w:rPr>
        <w:t xml:space="preserve">предузетнике, </w:t>
      </w:r>
      <w:r w:rsidRPr="001C27A1">
        <w:rPr>
          <w:rFonts w:asciiTheme="minorHAnsi" w:eastAsiaTheme="minorHAnsi" w:hAnsiTheme="minorHAnsi"/>
          <w:color w:val="auto"/>
          <w:sz w:val="20"/>
          <w:szCs w:val="20"/>
          <w:lang w:val="sr-Latn-RS" w:eastAsia="en-US"/>
        </w:rPr>
        <w:t>микро</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 мала и средња пр</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дуз</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ћа</w:t>
      </w:r>
      <w:r w:rsidRPr="001C27A1">
        <w:rPr>
          <w:rFonts w:asciiTheme="minorHAnsi" w:eastAsiaTheme="minorHAnsi" w:hAnsiTheme="minorHAnsi"/>
          <w:color w:val="auto"/>
          <w:sz w:val="20"/>
          <w:szCs w:val="20"/>
          <w:lang w:val="sr-Cyrl-RS" w:eastAsia="en-US"/>
        </w:rPr>
        <w:t xml:space="preserve"> путем</w:t>
      </w:r>
      <w:r w:rsidRPr="001C27A1">
        <w:rPr>
          <w:rFonts w:asciiTheme="minorHAnsi" w:eastAsiaTheme="minorHAnsi" w:hAnsiTheme="minorHAnsi"/>
          <w:color w:val="auto"/>
          <w:sz w:val="20"/>
          <w:szCs w:val="20"/>
          <w:lang w:val="sr-Latn-RS" w:eastAsia="en-US"/>
        </w:rPr>
        <w:t xml:space="preserve"> из</w:t>
      </w:r>
      <w:r w:rsidRPr="001C27A1">
        <w:rPr>
          <w:rFonts w:asciiTheme="minorHAnsi" w:eastAsiaTheme="minorHAnsi" w:hAnsiTheme="minorHAnsi"/>
          <w:color w:val="auto"/>
          <w:sz w:val="20"/>
          <w:szCs w:val="20"/>
          <w:lang w:val="sr-Cyrl-BA" w:eastAsia="en-US"/>
        </w:rPr>
        <w:t>д</w:t>
      </w:r>
      <w:r w:rsidRPr="001C27A1">
        <w:rPr>
          <w:rFonts w:asciiTheme="minorHAnsi" w:eastAsiaTheme="minorHAnsi" w:hAnsiTheme="minorHAnsi"/>
          <w:color w:val="auto"/>
          <w:sz w:val="20"/>
          <w:szCs w:val="20"/>
          <w:lang w:val="sr-Latn-RS" w:eastAsia="en-US"/>
        </w:rPr>
        <w:t>а</w:t>
      </w:r>
      <w:r w:rsidRPr="001C27A1">
        <w:rPr>
          <w:rFonts w:asciiTheme="minorHAnsi" w:eastAsiaTheme="minorHAnsi" w:hAnsiTheme="minorHAnsi"/>
          <w:color w:val="auto"/>
          <w:sz w:val="20"/>
          <w:szCs w:val="20"/>
          <w:lang w:val="sr-Cyrl-BA" w:eastAsia="en-US"/>
        </w:rPr>
        <w:t>в</w:t>
      </w:r>
      <w:r w:rsidRPr="001C27A1">
        <w:rPr>
          <w:rFonts w:asciiTheme="minorHAnsi" w:eastAsiaTheme="minorHAnsi" w:hAnsiTheme="minorHAnsi"/>
          <w:color w:val="auto"/>
          <w:sz w:val="20"/>
          <w:szCs w:val="20"/>
          <w:lang w:val="sr-Latn-RS" w:eastAsia="en-US"/>
        </w:rPr>
        <w:t>а</w:t>
      </w:r>
      <w:r w:rsidRPr="001C27A1">
        <w:rPr>
          <w:rFonts w:asciiTheme="minorHAnsi" w:eastAsiaTheme="minorHAnsi" w:hAnsiTheme="minorHAnsi"/>
          <w:color w:val="auto"/>
          <w:sz w:val="20"/>
          <w:szCs w:val="20"/>
          <w:lang w:val="sr-Cyrl-BA" w:eastAsia="en-US"/>
        </w:rPr>
        <w:t>њ</w:t>
      </w:r>
      <w:r w:rsidRPr="001C27A1">
        <w:rPr>
          <w:rFonts w:asciiTheme="minorHAnsi" w:eastAsiaTheme="minorHAnsi" w:hAnsiTheme="minorHAnsi"/>
          <w:color w:val="auto"/>
          <w:sz w:val="20"/>
          <w:szCs w:val="20"/>
          <w:lang w:val="sr-Cyrl-RS" w:eastAsia="en-US"/>
        </w:rPr>
        <w:t>а</w:t>
      </w:r>
      <w:r w:rsidRPr="001C27A1">
        <w:rPr>
          <w:rFonts w:asciiTheme="minorHAnsi" w:eastAsiaTheme="minorHAnsi" w:hAnsiTheme="minorHAnsi"/>
          <w:color w:val="auto"/>
          <w:sz w:val="20"/>
          <w:szCs w:val="20"/>
          <w:lang w:val="sr-Latn-RS" w:eastAsia="en-US"/>
        </w:rPr>
        <w:t xml:space="preserve"> гара</w:t>
      </w:r>
      <w:r w:rsidRPr="001C27A1">
        <w:rPr>
          <w:rFonts w:asciiTheme="minorHAnsi" w:eastAsiaTheme="minorHAnsi" w:hAnsiTheme="minorHAnsi"/>
          <w:color w:val="auto"/>
          <w:sz w:val="20"/>
          <w:szCs w:val="20"/>
          <w:lang w:val="sr-Cyrl-BA" w:eastAsia="en-US"/>
        </w:rPr>
        <w:t>н</w:t>
      </w:r>
      <w:r w:rsidRPr="001C27A1">
        <w:rPr>
          <w:rFonts w:asciiTheme="minorHAnsi" w:eastAsiaTheme="minorHAnsi" w:hAnsiTheme="minorHAnsi"/>
          <w:color w:val="auto"/>
          <w:sz w:val="20"/>
          <w:szCs w:val="20"/>
          <w:lang w:val="sr-Latn-RS" w:eastAsia="en-US"/>
        </w:rPr>
        <w:t>циј</w:t>
      </w:r>
      <w:r w:rsidRPr="001C27A1">
        <w:rPr>
          <w:rFonts w:asciiTheme="minorHAnsi" w:eastAsiaTheme="minorHAnsi" w:hAnsiTheme="minorHAnsi"/>
          <w:color w:val="auto"/>
          <w:sz w:val="20"/>
          <w:szCs w:val="20"/>
          <w:lang w:val="sr-Cyrl-BA" w:eastAsia="en-US"/>
        </w:rPr>
        <w:t>а</w:t>
      </w:r>
      <w:r w:rsidRPr="001C27A1">
        <w:rPr>
          <w:rFonts w:asciiTheme="minorHAnsi" w:eastAsiaTheme="minorHAnsi" w:hAnsiTheme="minorHAnsi"/>
          <w:color w:val="auto"/>
          <w:sz w:val="20"/>
          <w:szCs w:val="20"/>
          <w:lang w:val="sr-Latn-RS" w:eastAsia="en-US"/>
        </w:rPr>
        <w:t xml:space="preserve"> за обезбј</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ђење потраживања по кр</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диту одобреном од финансијск</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орг</w:t>
      </w:r>
      <w:r w:rsidRPr="001C27A1">
        <w:rPr>
          <w:rFonts w:asciiTheme="minorHAnsi" w:eastAsiaTheme="minorHAnsi" w:hAnsiTheme="minorHAnsi"/>
          <w:color w:val="auto"/>
          <w:sz w:val="20"/>
          <w:szCs w:val="20"/>
          <w:lang w:val="sr-Cyrl-BA" w:eastAsia="en-US"/>
        </w:rPr>
        <w:t>а</w:t>
      </w:r>
      <w:r w:rsidRPr="001C27A1">
        <w:rPr>
          <w:rFonts w:asciiTheme="minorHAnsi" w:eastAsiaTheme="minorHAnsi" w:hAnsiTheme="minorHAnsi"/>
          <w:color w:val="auto"/>
          <w:sz w:val="20"/>
          <w:szCs w:val="20"/>
          <w:lang w:val="sr-Latn-RS" w:eastAsia="en-US"/>
        </w:rPr>
        <w:t>низациј</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тј. об</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збјеђењсм дјелимичн</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заштит</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од кредитног</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RS" w:eastAsia="en-US"/>
        </w:rPr>
        <w:t>ризика тих предузећа</w:t>
      </w:r>
      <w:r w:rsidRPr="001C27A1">
        <w:rPr>
          <w:rFonts w:asciiTheme="minorHAnsi" w:eastAsiaTheme="minorHAnsi" w:hAnsiTheme="minorHAnsi"/>
          <w:color w:val="auto"/>
          <w:sz w:val="20"/>
          <w:szCs w:val="20"/>
          <w:lang w:val="sr-Cyrl-BA" w:eastAsia="en-US"/>
        </w:rPr>
        <w:t>,</w:t>
      </w:r>
      <w:r w:rsidRPr="001C27A1">
        <w:rPr>
          <w:rFonts w:asciiTheme="minorHAnsi" w:eastAsiaTheme="minorHAnsi" w:hAnsiTheme="minorHAnsi"/>
          <w:color w:val="auto"/>
          <w:sz w:val="20"/>
          <w:szCs w:val="20"/>
          <w:lang w:val="sr-Latn-RS" w:eastAsia="en-US"/>
        </w:rPr>
        <w:t xml:space="preserve"> </w:t>
      </w:r>
      <w:r w:rsidRPr="001C27A1">
        <w:rPr>
          <w:rFonts w:asciiTheme="minorHAnsi" w:eastAsiaTheme="minorHAnsi" w:hAnsiTheme="minorHAnsi"/>
          <w:color w:val="auto"/>
          <w:sz w:val="20"/>
          <w:szCs w:val="20"/>
          <w:lang w:val="sr-Cyrl-RS" w:eastAsia="en-US"/>
        </w:rPr>
        <w:t>п</w:t>
      </w:r>
      <w:r w:rsidRPr="001C27A1">
        <w:rPr>
          <w:rFonts w:asciiTheme="minorHAnsi" w:eastAsiaTheme="minorHAnsi" w:hAnsiTheme="minorHAnsi"/>
          <w:color w:val="auto"/>
          <w:sz w:val="20"/>
          <w:szCs w:val="20"/>
          <w:lang w:val="sr-Latn-RS" w:eastAsia="en-US"/>
        </w:rPr>
        <w:t xml:space="preserve">овећаног </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кономским посљед</w:t>
      </w:r>
      <w:r w:rsidRPr="001C27A1">
        <w:rPr>
          <w:rFonts w:asciiTheme="minorHAnsi" w:eastAsiaTheme="minorHAnsi" w:hAnsiTheme="minorHAnsi"/>
          <w:color w:val="auto"/>
          <w:sz w:val="20"/>
          <w:szCs w:val="20"/>
          <w:lang w:val="sr-Cyrl-BA" w:eastAsia="en-US"/>
        </w:rPr>
        <w:t>и</w:t>
      </w:r>
      <w:r w:rsidRPr="001C27A1">
        <w:rPr>
          <w:rFonts w:asciiTheme="minorHAnsi" w:eastAsiaTheme="minorHAnsi" w:hAnsiTheme="minorHAnsi"/>
          <w:color w:val="auto"/>
          <w:sz w:val="20"/>
          <w:szCs w:val="20"/>
          <w:lang w:val="sr-Latn-RS" w:eastAsia="en-US"/>
        </w:rPr>
        <w:t xml:space="preserve">цама </w:t>
      </w:r>
      <w:r w:rsidRPr="001C27A1">
        <w:rPr>
          <w:rFonts w:asciiTheme="minorHAnsi" w:eastAsiaTheme="minorHAnsi" w:hAnsiTheme="minorHAnsi"/>
          <w:color w:val="auto"/>
          <w:sz w:val="20"/>
          <w:szCs w:val="20"/>
          <w:lang w:val="sr-Cyrl-BA" w:eastAsia="en-US"/>
        </w:rPr>
        <w:t>н</w:t>
      </w:r>
      <w:r w:rsidRPr="001C27A1">
        <w:rPr>
          <w:rFonts w:asciiTheme="minorHAnsi" w:eastAsiaTheme="minorHAnsi" w:hAnsiTheme="minorHAnsi"/>
          <w:color w:val="auto"/>
          <w:sz w:val="20"/>
          <w:szCs w:val="20"/>
          <w:lang w:val="sr-Latn-RS" w:eastAsia="en-US"/>
        </w:rPr>
        <w:t>асталим усљед болести COVID 19 изазване вирусом SARS-CoV-2.</w:t>
      </w:r>
      <w:r w:rsidRPr="001C27A1">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sz w:val="20"/>
          <w:szCs w:val="20"/>
          <w:lang w:val="sr-Latn-RS" w:eastAsia="en-US"/>
        </w:rPr>
        <w:t>Гарантним програмом</w:t>
      </w:r>
      <w:r w:rsidRPr="001C27A1">
        <w:rPr>
          <w:rFonts w:asciiTheme="minorHAnsi" w:eastAsiaTheme="minorHAnsi" w:hAnsiTheme="minorHAnsi"/>
          <w:b/>
          <w:color w:val="auto"/>
          <w:sz w:val="20"/>
          <w:szCs w:val="20"/>
          <w:lang w:val="sr-Cyrl-BA" w:eastAsia="en-US"/>
        </w:rPr>
        <w:t xml:space="preserve"> </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BA" w:eastAsia="en-US"/>
        </w:rPr>
        <w:t>COVID 19</w:t>
      </w:r>
      <w:r w:rsidRPr="001C27A1">
        <w:rPr>
          <w:rFonts w:asciiTheme="minorHAnsi" w:eastAsiaTheme="minorHAnsi" w:hAnsiTheme="minorHAnsi"/>
          <w:sz w:val="20"/>
          <w:szCs w:val="20"/>
          <w:lang w:val="sr-Latn-RS" w:eastAsia="en-US"/>
        </w:rPr>
        <w:t>, у име и за рачу</w:t>
      </w:r>
      <w:r w:rsidRPr="001C27A1">
        <w:rPr>
          <w:rFonts w:asciiTheme="minorHAnsi" w:eastAsiaTheme="minorHAnsi" w:hAnsiTheme="minorHAnsi"/>
          <w:sz w:val="20"/>
          <w:szCs w:val="20"/>
          <w:lang w:val="sr-Cyrl-BA" w:eastAsia="en-US"/>
        </w:rPr>
        <w:t>н</w:t>
      </w:r>
      <w:r w:rsidRPr="001C27A1">
        <w:rPr>
          <w:rFonts w:asciiTheme="minorHAnsi" w:eastAsiaTheme="minorHAnsi" w:hAnsiTheme="minorHAnsi"/>
          <w:sz w:val="20"/>
          <w:szCs w:val="20"/>
          <w:lang w:val="sr-Latn-RS" w:eastAsia="en-US"/>
        </w:rPr>
        <w:t xml:space="preserve"> Р</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пуб</w:t>
      </w:r>
      <w:r w:rsidRPr="001C27A1">
        <w:rPr>
          <w:rFonts w:asciiTheme="minorHAnsi" w:eastAsiaTheme="minorHAnsi" w:hAnsiTheme="minorHAnsi"/>
          <w:sz w:val="20"/>
          <w:szCs w:val="20"/>
          <w:lang w:val="sr-Cyrl-RS" w:eastAsia="en-US"/>
        </w:rPr>
        <w:t>л</w:t>
      </w:r>
      <w:r w:rsidRPr="001C27A1">
        <w:rPr>
          <w:rFonts w:asciiTheme="minorHAnsi" w:eastAsiaTheme="minorHAnsi" w:hAnsiTheme="minorHAnsi"/>
          <w:sz w:val="20"/>
          <w:szCs w:val="20"/>
          <w:lang w:val="sr-Latn-RS" w:eastAsia="en-US"/>
        </w:rPr>
        <w:t>ике Ср</w:t>
      </w:r>
      <w:r w:rsidRPr="001C27A1">
        <w:rPr>
          <w:rFonts w:asciiTheme="minorHAnsi" w:eastAsiaTheme="minorHAnsi" w:hAnsiTheme="minorHAnsi"/>
          <w:sz w:val="20"/>
          <w:szCs w:val="20"/>
          <w:lang w:val="sr-Cyrl-RS" w:eastAsia="en-US"/>
        </w:rPr>
        <w:t>п</w:t>
      </w:r>
      <w:r w:rsidRPr="001C27A1">
        <w:rPr>
          <w:rFonts w:asciiTheme="minorHAnsi" w:eastAsiaTheme="minorHAnsi" w:hAnsiTheme="minorHAnsi"/>
          <w:sz w:val="20"/>
          <w:szCs w:val="20"/>
          <w:lang w:val="sr-Latn-RS" w:eastAsia="en-US"/>
        </w:rPr>
        <w:t>ске, управља Гарантни фонд Репу</w:t>
      </w:r>
      <w:r w:rsidRPr="001C27A1">
        <w:rPr>
          <w:rFonts w:asciiTheme="minorHAnsi" w:eastAsiaTheme="minorHAnsi" w:hAnsiTheme="minorHAnsi"/>
          <w:sz w:val="20"/>
          <w:szCs w:val="20"/>
          <w:lang w:val="sr-Cyrl-BA" w:eastAsia="en-US"/>
        </w:rPr>
        <w:t>блике</w:t>
      </w:r>
      <w:r w:rsidRPr="001C27A1">
        <w:rPr>
          <w:rFonts w:asciiTheme="minorHAnsi" w:eastAsiaTheme="minorHAnsi" w:hAnsiTheme="minorHAnsi"/>
          <w:sz w:val="20"/>
          <w:szCs w:val="20"/>
          <w:lang w:val="sr-Latn-RS" w:eastAsia="en-US"/>
        </w:rPr>
        <w:t xml:space="preserve"> Српске</w:t>
      </w:r>
      <w:r w:rsidRPr="001C27A1">
        <w:rPr>
          <w:rFonts w:asciiTheme="minorHAnsi" w:eastAsiaTheme="minorHAnsi" w:hAnsiTheme="minorHAnsi"/>
          <w:sz w:val="20"/>
          <w:szCs w:val="20"/>
          <w:lang w:val="sr-Cyrl-BA" w:eastAsia="en-US"/>
        </w:rPr>
        <w:t>.</w:t>
      </w:r>
    </w:p>
    <w:p w14:paraId="6A30BC3C" w14:textId="77777777" w:rsidR="001C27A1" w:rsidRPr="001C27A1" w:rsidRDefault="001C27A1" w:rsidP="00545FA4">
      <w:pPr>
        <w:autoSpaceDE w:val="0"/>
        <w:autoSpaceDN w:val="0"/>
        <w:adjustRightInd w:val="0"/>
        <w:rPr>
          <w:rFonts w:asciiTheme="minorHAnsi" w:eastAsiaTheme="minorHAnsi" w:hAnsiTheme="minorHAnsi"/>
          <w:color w:val="auto"/>
          <w:sz w:val="20"/>
          <w:szCs w:val="20"/>
          <w:lang w:val="sr-Latn-RS" w:eastAsia="en-US"/>
        </w:rPr>
      </w:pPr>
    </w:p>
    <w:p w14:paraId="6AB247E6" w14:textId="77777777" w:rsidR="00545FA4" w:rsidRPr="001C27A1" w:rsidRDefault="00545FA4" w:rsidP="00545FA4">
      <w:pPr>
        <w:autoSpaceDE w:val="0"/>
        <w:autoSpaceDN w:val="0"/>
        <w:adjustRightInd w:val="0"/>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Latn-RS" w:eastAsia="en-US"/>
        </w:rPr>
        <w:t>Фонд је дужан да, у складу са правилима пословања Гарантног програма</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BA" w:eastAsia="en-US"/>
        </w:rPr>
        <w:t>COVID 19</w:t>
      </w:r>
      <w:r w:rsidRPr="001C27A1">
        <w:rPr>
          <w:rFonts w:asciiTheme="minorHAnsi" w:eastAsiaTheme="minorHAnsi" w:hAnsiTheme="minorHAnsi"/>
          <w:color w:val="auto"/>
          <w:sz w:val="20"/>
          <w:szCs w:val="20"/>
          <w:lang w:val="sr-Latn-RS" w:eastAsia="en-US"/>
        </w:rPr>
        <w:t>,  сачињава извјештаје о броју кредита укључених у портфолио према гранској припадности и величини привредног субјекта, о стању неотплаћене главнице кредита, очекиваним кредитним губицима и другим питањима од значаја за пројекцију буџетских расхода.</w:t>
      </w:r>
      <w:r w:rsidR="001C27A1">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color w:val="auto"/>
          <w:sz w:val="20"/>
          <w:szCs w:val="20"/>
          <w:lang w:val="sr-Cyrl-RS" w:eastAsia="en-US"/>
        </w:rPr>
        <w:t>Фонд такође с</w:t>
      </w:r>
      <w:r w:rsidRPr="001C27A1">
        <w:rPr>
          <w:rFonts w:asciiTheme="minorHAnsi" w:eastAsiaTheme="minorHAnsi" w:hAnsiTheme="minorHAnsi"/>
          <w:color w:val="auto"/>
          <w:sz w:val="20"/>
          <w:szCs w:val="20"/>
          <w:lang w:val="sr-Latn-RS" w:eastAsia="en-US"/>
        </w:rPr>
        <w:t>ачињава књиговодствен</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исправ</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во</w:t>
      </w:r>
      <w:r w:rsidRPr="001C27A1">
        <w:rPr>
          <w:rFonts w:asciiTheme="minorHAnsi" w:eastAsiaTheme="minorHAnsi" w:hAnsiTheme="minorHAnsi"/>
          <w:color w:val="auto"/>
          <w:sz w:val="20"/>
          <w:szCs w:val="20"/>
          <w:lang w:val="sr-Cyrl-RS" w:eastAsia="en-US"/>
        </w:rPr>
        <w:t>ди</w:t>
      </w:r>
      <w:r w:rsidRPr="001C27A1">
        <w:rPr>
          <w:rFonts w:asciiTheme="minorHAnsi" w:eastAsiaTheme="minorHAnsi" w:hAnsiTheme="minorHAnsi"/>
          <w:color w:val="auto"/>
          <w:sz w:val="20"/>
          <w:szCs w:val="20"/>
          <w:lang w:val="sr-Latn-RS" w:eastAsia="en-US"/>
        </w:rPr>
        <w:t xml:space="preserve"> пословн</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књ</w:t>
      </w:r>
      <w:r w:rsidRPr="001C27A1">
        <w:rPr>
          <w:rFonts w:asciiTheme="minorHAnsi" w:eastAsiaTheme="minorHAnsi" w:hAnsiTheme="minorHAnsi"/>
          <w:color w:val="auto"/>
          <w:sz w:val="20"/>
          <w:szCs w:val="20"/>
          <w:lang w:val="sr-Cyrl-RS" w:eastAsia="en-US"/>
        </w:rPr>
        <w:t>и</w:t>
      </w:r>
      <w:r w:rsidRPr="001C27A1">
        <w:rPr>
          <w:rFonts w:asciiTheme="minorHAnsi" w:eastAsiaTheme="minorHAnsi" w:hAnsiTheme="minorHAnsi"/>
          <w:color w:val="auto"/>
          <w:sz w:val="20"/>
          <w:szCs w:val="20"/>
          <w:lang w:val="sr-Latn-RS" w:eastAsia="en-US"/>
        </w:rPr>
        <w:t>г</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 сачињава финансијск</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 друг</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извјештаја о спровођењу Гарантног програма.</w:t>
      </w:r>
      <w:r w:rsidRPr="001C27A1">
        <w:rPr>
          <w:rFonts w:asciiTheme="minorHAnsi" w:hAnsiTheme="minorHAnsi"/>
          <w:sz w:val="20"/>
          <w:szCs w:val="20"/>
        </w:rPr>
        <w:t xml:space="preserve"> </w:t>
      </w:r>
      <w:r w:rsidRPr="001C27A1">
        <w:rPr>
          <w:rFonts w:asciiTheme="minorHAnsi" w:eastAsiaTheme="minorHAnsi" w:hAnsiTheme="minorHAnsi"/>
          <w:color w:val="auto"/>
          <w:sz w:val="20"/>
          <w:szCs w:val="20"/>
          <w:lang w:val="sr-Latn-RS" w:eastAsia="en-US"/>
        </w:rPr>
        <w:t>Обавеза Фонда о праћењу и извјештавању о реализацији Гарантног програма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подршке привреди за ублажавање посљедица пандемије болести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19 </w:t>
      </w:r>
      <w:r w:rsidRPr="001C27A1">
        <w:rPr>
          <w:rFonts w:asciiTheme="minorHAnsi" w:eastAsiaTheme="minorHAnsi" w:hAnsiTheme="minorHAnsi"/>
          <w:color w:val="auto"/>
          <w:sz w:val="20"/>
          <w:szCs w:val="20"/>
          <w:lang w:val="sr-Cyrl-RS" w:eastAsia="en-US"/>
        </w:rPr>
        <w:t>важи</w:t>
      </w:r>
      <w:r w:rsidRPr="001C27A1">
        <w:rPr>
          <w:rFonts w:asciiTheme="minorHAnsi" w:eastAsiaTheme="minorHAnsi" w:hAnsiTheme="minorHAnsi"/>
          <w:color w:val="auto"/>
          <w:sz w:val="20"/>
          <w:szCs w:val="20"/>
          <w:lang w:val="sr-Latn-RS" w:eastAsia="en-US"/>
        </w:rPr>
        <w:t xml:space="preserve"> до истека свих гаранција изданих у оквиру Програма.</w:t>
      </w:r>
    </w:p>
    <w:p w14:paraId="547D374B"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p>
    <w:p w14:paraId="62BF11EF" w14:textId="77777777" w:rsidR="00545FA4" w:rsidRDefault="00545FA4" w:rsidP="00545FA4">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Преглед реализованих кредита </w:t>
      </w:r>
      <w:r w:rsidRPr="001C27A1">
        <w:rPr>
          <w:rFonts w:asciiTheme="minorHAnsi" w:eastAsiaTheme="minorHAnsi" w:hAnsiTheme="minorHAnsi"/>
          <w:b/>
          <w:color w:val="auto"/>
          <w:sz w:val="20"/>
          <w:szCs w:val="20"/>
          <w:lang w:val="sr-Cyrl-BA" w:eastAsia="en-US"/>
        </w:rPr>
        <w:t xml:space="preserve">из Гарантног програма </w:t>
      </w:r>
      <w:r w:rsidRPr="001C27A1">
        <w:rPr>
          <w:rFonts w:asciiTheme="minorHAnsi" w:eastAsiaTheme="minorHAnsi" w:hAnsiTheme="minorHAnsi"/>
          <w:b/>
          <w:color w:val="auto"/>
          <w:sz w:val="20"/>
          <w:szCs w:val="20"/>
          <w:lang w:val="sr-Latn-BA" w:eastAsia="en-US"/>
        </w:rPr>
        <w:t xml:space="preserve"> 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 xml:space="preserve">19 </w:t>
      </w:r>
      <w:r w:rsidRPr="001C27A1">
        <w:rPr>
          <w:rFonts w:asciiTheme="minorHAnsi" w:eastAsiaTheme="minorHAnsi" w:hAnsiTheme="minorHAnsi"/>
          <w:b/>
          <w:color w:val="auto"/>
          <w:sz w:val="20"/>
          <w:szCs w:val="20"/>
          <w:lang w:val="sr-Cyrl-RS" w:eastAsia="en-US"/>
        </w:rPr>
        <w:t>у 2023</w:t>
      </w:r>
      <w:r w:rsidR="002B5C72">
        <w:rPr>
          <w:rFonts w:asciiTheme="minorHAnsi" w:eastAsiaTheme="minorHAnsi" w:hAnsiTheme="minorHAnsi"/>
          <w:b/>
          <w:color w:val="auto"/>
          <w:sz w:val="20"/>
          <w:szCs w:val="20"/>
          <w:lang w:val="sr-Cyrl-RS" w:eastAsia="en-US"/>
        </w:rPr>
        <w:t>. години по финансијским посредницима</w:t>
      </w:r>
    </w:p>
    <w:p w14:paraId="571FE7EC" w14:textId="77777777" w:rsidR="002B5C72" w:rsidRPr="001C27A1" w:rsidRDefault="002B5C72" w:rsidP="00545FA4">
      <w:pPr>
        <w:spacing w:line="276" w:lineRule="auto"/>
        <w:jc w:val="center"/>
        <w:rPr>
          <w:rFonts w:asciiTheme="minorHAnsi" w:eastAsiaTheme="minorHAnsi" w:hAnsiTheme="minorHAnsi"/>
          <w:b/>
          <w:color w:val="auto"/>
          <w:sz w:val="20"/>
          <w:szCs w:val="20"/>
          <w:lang w:val="sr-Cyrl-RS" w:eastAsia="en-US"/>
        </w:rPr>
      </w:pPr>
    </w:p>
    <w:p w14:paraId="7E112A5D"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t xml:space="preserve">               </w:t>
      </w:r>
      <w:r w:rsidR="001C27A1">
        <w:rPr>
          <w:rFonts w:asciiTheme="minorHAnsi" w:eastAsiaTheme="minorHAnsi" w:hAnsiTheme="minorHAnsi"/>
          <w:b/>
          <w:color w:val="auto"/>
          <w:sz w:val="20"/>
          <w:szCs w:val="20"/>
          <w:lang w:val="sr-Cyrl-RS" w:eastAsia="en-US"/>
        </w:rPr>
        <w:t>Табела</w:t>
      </w:r>
      <w:r w:rsidR="00A944C8">
        <w:rPr>
          <w:rFonts w:asciiTheme="minorHAnsi" w:eastAsiaTheme="minorHAnsi" w:hAnsiTheme="minorHAnsi"/>
          <w:b/>
          <w:color w:val="auto"/>
          <w:sz w:val="20"/>
          <w:szCs w:val="20"/>
          <w:lang w:val="sr-Cyrl-RS" w:eastAsia="en-US"/>
        </w:rPr>
        <w:t xml:space="preserve"> 17</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992"/>
        <w:gridCol w:w="1418"/>
        <w:gridCol w:w="1559"/>
        <w:gridCol w:w="1843"/>
      </w:tblGrid>
      <w:tr w:rsidR="00545FA4" w:rsidRPr="001C27A1" w14:paraId="01385180" w14:textId="77777777" w:rsidTr="001C27A1">
        <w:trPr>
          <w:trHeight w:val="552"/>
        </w:trPr>
        <w:tc>
          <w:tcPr>
            <w:tcW w:w="2992" w:type="dxa"/>
            <w:shd w:val="clear" w:color="auto" w:fill="8DB3E2" w:themeFill="text2" w:themeFillTint="66"/>
            <w:vAlign w:val="center"/>
            <w:hideMark/>
          </w:tcPr>
          <w:p w14:paraId="7393259F"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lang w:val="sr-Cyrl-BA"/>
              </w:rPr>
              <w:t>Финансијски посредник</w:t>
            </w:r>
          </w:p>
        </w:tc>
        <w:tc>
          <w:tcPr>
            <w:tcW w:w="992" w:type="dxa"/>
            <w:shd w:val="clear" w:color="auto" w:fill="8DB3E2" w:themeFill="text2" w:themeFillTint="66"/>
            <w:vAlign w:val="center"/>
            <w:hideMark/>
          </w:tcPr>
          <w:p w14:paraId="6F173E11"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Број кредита</w:t>
            </w:r>
          </w:p>
        </w:tc>
        <w:tc>
          <w:tcPr>
            <w:tcW w:w="1418" w:type="dxa"/>
            <w:shd w:val="clear" w:color="auto" w:fill="8DB3E2" w:themeFill="text2" w:themeFillTint="66"/>
            <w:vAlign w:val="center"/>
            <w:hideMark/>
          </w:tcPr>
          <w:p w14:paraId="69B5155F"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Износ кредита</w:t>
            </w:r>
          </w:p>
        </w:tc>
        <w:tc>
          <w:tcPr>
            <w:tcW w:w="1559" w:type="dxa"/>
            <w:shd w:val="clear" w:color="auto" w:fill="8DB3E2" w:themeFill="text2" w:themeFillTint="66"/>
            <w:vAlign w:val="center"/>
            <w:hideMark/>
          </w:tcPr>
          <w:p w14:paraId="6301DFCF"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Износ гаранције</w:t>
            </w:r>
          </w:p>
        </w:tc>
        <w:tc>
          <w:tcPr>
            <w:tcW w:w="1843" w:type="dxa"/>
            <w:shd w:val="clear" w:color="auto" w:fill="8DB3E2" w:themeFill="text2" w:themeFillTint="66"/>
            <w:vAlign w:val="center"/>
            <w:hideMark/>
          </w:tcPr>
          <w:p w14:paraId="59F40388"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Учешће у пласираним кредитима</w:t>
            </w:r>
          </w:p>
        </w:tc>
      </w:tr>
      <w:tr w:rsidR="00545FA4" w:rsidRPr="001C27A1" w14:paraId="25B36D9F" w14:textId="77777777" w:rsidTr="001C27A1">
        <w:trPr>
          <w:trHeight w:val="222"/>
        </w:trPr>
        <w:tc>
          <w:tcPr>
            <w:tcW w:w="2992" w:type="dxa"/>
            <w:shd w:val="clear" w:color="auto" w:fill="FFFFFF" w:themeFill="background1"/>
            <w:vAlign w:val="center"/>
            <w:hideMark/>
          </w:tcPr>
          <w:p w14:paraId="689B4DDA" w14:textId="77777777" w:rsidR="00545FA4" w:rsidRPr="001C27A1" w:rsidRDefault="00545FA4" w:rsidP="00545FA4">
            <w:pPr>
              <w:jc w:val="left"/>
              <w:rPr>
                <w:rFonts w:asciiTheme="minorHAnsi" w:hAnsiTheme="minorHAnsi"/>
                <w:caps/>
                <w:sz w:val="20"/>
                <w:szCs w:val="20"/>
              </w:rPr>
            </w:pPr>
            <w:r w:rsidRPr="001C27A1">
              <w:rPr>
                <w:rFonts w:asciiTheme="minorHAnsi" w:hAnsiTheme="minorHAnsi"/>
                <w:sz w:val="20"/>
                <w:szCs w:val="20"/>
                <w:lang w:val="sr-Cyrl-RS"/>
              </w:rPr>
              <w:t>Нова</w:t>
            </w:r>
            <w:r w:rsidRPr="001C27A1">
              <w:rPr>
                <w:rFonts w:asciiTheme="minorHAnsi" w:hAnsiTheme="minorHAnsi"/>
                <w:sz w:val="20"/>
                <w:szCs w:val="20"/>
              </w:rPr>
              <w:t xml:space="preserve"> банка а.д. Бања </w:t>
            </w:r>
            <w:r w:rsidRPr="001C27A1">
              <w:rPr>
                <w:rFonts w:asciiTheme="minorHAnsi" w:hAnsiTheme="minorHAnsi"/>
                <w:sz w:val="20"/>
                <w:szCs w:val="20"/>
                <w:lang w:val="sr-Cyrl-RS"/>
              </w:rPr>
              <w:t>Л</w:t>
            </w:r>
            <w:r w:rsidRPr="001C27A1">
              <w:rPr>
                <w:rFonts w:asciiTheme="minorHAnsi" w:hAnsiTheme="minorHAnsi"/>
                <w:sz w:val="20"/>
                <w:szCs w:val="20"/>
              </w:rPr>
              <w:t>ука</w:t>
            </w:r>
          </w:p>
        </w:tc>
        <w:tc>
          <w:tcPr>
            <w:tcW w:w="992" w:type="dxa"/>
            <w:shd w:val="clear" w:color="auto" w:fill="FFFFFF" w:themeFill="background1"/>
            <w:vAlign w:val="center"/>
            <w:hideMark/>
          </w:tcPr>
          <w:p w14:paraId="2906806F"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lang w:val="sr-Cyrl-RS"/>
              </w:rPr>
              <w:t>1</w:t>
            </w:r>
          </w:p>
        </w:tc>
        <w:tc>
          <w:tcPr>
            <w:tcW w:w="1418" w:type="dxa"/>
            <w:shd w:val="clear" w:color="auto" w:fill="FFFFFF" w:themeFill="background1"/>
            <w:vAlign w:val="center"/>
            <w:hideMark/>
          </w:tcPr>
          <w:p w14:paraId="7979F844"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lang w:val="sr-Cyrl-RS"/>
              </w:rPr>
              <w:t>400</w:t>
            </w:r>
            <w:r w:rsidRPr="001C27A1">
              <w:rPr>
                <w:rFonts w:asciiTheme="minorHAnsi" w:hAnsiTheme="minorHAnsi"/>
                <w:sz w:val="20"/>
                <w:szCs w:val="20"/>
              </w:rPr>
              <w:t>.000,00</w:t>
            </w:r>
          </w:p>
        </w:tc>
        <w:tc>
          <w:tcPr>
            <w:tcW w:w="1559" w:type="dxa"/>
            <w:shd w:val="clear" w:color="auto" w:fill="FFFFFF" w:themeFill="background1"/>
            <w:vAlign w:val="center"/>
            <w:hideMark/>
          </w:tcPr>
          <w:p w14:paraId="57362FA7"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lang w:val="sr-Cyrl-RS"/>
              </w:rPr>
              <w:t>280</w:t>
            </w:r>
            <w:r w:rsidRPr="001C27A1">
              <w:rPr>
                <w:rFonts w:asciiTheme="minorHAnsi" w:hAnsiTheme="minorHAnsi"/>
                <w:sz w:val="20"/>
                <w:szCs w:val="20"/>
              </w:rPr>
              <w:t>.</w:t>
            </w:r>
            <w:r w:rsidRPr="001C27A1">
              <w:rPr>
                <w:rFonts w:asciiTheme="minorHAnsi" w:hAnsiTheme="minorHAnsi"/>
                <w:sz w:val="20"/>
                <w:szCs w:val="20"/>
                <w:lang w:val="sr-Cyrl-RS"/>
              </w:rPr>
              <w:t>0</w:t>
            </w:r>
            <w:r w:rsidRPr="001C27A1">
              <w:rPr>
                <w:rFonts w:asciiTheme="minorHAnsi" w:hAnsiTheme="minorHAnsi"/>
                <w:sz w:val="20"/>
                <w:szCs w:val="20"/>
              </w:rPr>
              <w:t>00,00</w:t>
            </w:r>
          </w:p>
        </w:tc>
        <w:tc>
          <w:tcPr>
            <w:tcW w:w="1843" w:type="dxa"/>
            <w:shd w:val="clear" w:color="auto" w:fill="FFFFFF" w:themeFill="background1"/>
            <w:noWrap/>
            <w:vAlign w:val="center"/>
            <w:hideMark/>
          </w:tcPr>
          <w:p w14:paraId="54CF09AF"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lang w:val="sr-Cyrl-RS"/>
              </w:rPr>
              <w:t>66,66</w:t>
            </w:r>
            <w:r w:rsidRPr="001C27A1">
              <w:rPr>
                <w:rFonts w:asciiTheme="minorHAnsi" w:hAnsiTheme="minorHAnsi"/>
                <w:sz w:val="20"/>
                <w:szCs w:val="20"/>
              </w:rPr>
              <w:t>%</w:t>
            </w:r>
          </w:p>
        </w:tc>
      </w:tr>
      <w:tr w:rsidR="00545FA4" w:rsidRPr="001C27A1" w14:paraId="092F3650" w14:textId="77777777" w:rsidTr="001C27A1">
        <w:trPr>
          <w:trHeight w:val="229"/>
        </w:trPr>
        <w:tc>
          <w:tcPr>
            <w:tcW w:w="2992" w:type="dxa"/>
            <w:shd w:val="clear" w:color="auto" w:fill="FFFFFF" w:themeFill="background1"/>
            <w:vAlign w:val="center"/>
            <w:hideMark/>
          </w:tcPr>
          <w:p w14:paraId="6F812794" w14:textId="77777777" w:rsidR="00545FA4" w:rsidRPr="001C27A1" w:rsidRDefault="00545FA4" w:rsidP="00545FA4">
            <w:pPr>
              <w:jc w:val="left"/>
              <w:rPr>
                <w:rFonts w:asciiTheme="minorHAnsi" w:hAnsiTheme="minorHAnsi"/>
                <w:caps/>
                <w:sz w:val="20"/>
                <w:szCs w:val="20"/>
              </w:rPr>
            </w:pPr>
            <w:r w:rsidRPr="001C27A1">
              <w:rPr>
                <w:rFonts w:asciiTheme="minorHAnsi" w:hAnsiTheme="minorHAnsi"/>
                <w:sz w:val="20"/>
                <w:szCs w:val="20"/>
              </w:rPr>
              <w:t>М</w:t>
            </w:r>
            <w:r w:rsidRPr="001C27A1">
              <w:rPr>
                <w:rFonts w:asciiTheme="minorHAnsi" w:hAnsiTheme="minorHAnsi"/>
                <w:sz w:val="20"/>
                <w:szCs w:val="20"/>
                <w:lang w:val="sr-Cyrl-RS"/>
              </w:rPr>
              <w:t xml:space="preserve">Ф </w:t>
            </w:r>
            <w:r w:rsidRPr="001C27A1">
              <w:rPr>
                <w:rFonts w:asciiTheme="minorHAnsi" w:hAnsiTheme="minorHAnsi"/>
                <w:sz w:val="20"/>
                <w:szCs w:val="20"/>
              </w:rPr>
              <w:t xml:space="preserve">банка а.д. Бања </w:t>
            </w:r>
            <w:r w:rsidRPr="001C27A1">
              <w:rPr>
                <w:rFonts w:asciiTheme="minorHAnsi" w:hAnsiTheme="minorHAnsi"/>
                <w:sz w:val="20"/>
                <w:szCs w:val="20"/>
                <w:lang w:val="sr-Cyrl-RS"/>
              </w:rPr>
              <w:t>Л</w:t>
            </w:r>
            <w:r w:rsidRPr="001C27A1">
              <w:rPr>
                <w:rFonts w:asciiTheme="minorHAnsi" w:hAnsiTheme="minorHAnsi"/>
                <w:sz w:val="20"/>
                <w:szCs w:val="20"/>
              </w:rPr>
              <w:t>ука</w:t>
            </w:r>
          </w:p>
        </w:tc>
        <w:tc>
          <w:tcPr>
            <w:tcW w:w="992" w:type="dxa"/>
            <w:shd w:val="clear" w:color="auto" w:fill="FFFFFF" w:themeFill="background1"/>
            <w:vAlign w:val="center"/>
            <w:hideMark/>
          </w:tcPr>
          <w:p w14:paraId="48D84928"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lang w:val="sr-Cyrl-RS"/>
              </w:rPr>
              <w:t>1</w:t>
            </w:r>
          </w:p>
        </w:tc>
        <w:tc>
          <w:tcPr>
            <w:tcW w:w="1418" w:type="dxa"/>
            <w:shd w:val="clear" w:color="auto" w:fill="FFFFFF" w:themeFill="background1"/>
            <w:vAlign w:val="center"/>
            <w:hideMark/>
          </w:tcPr>
          <w:p w14:paraId="2C7B6F0E"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2</w:t>
            </w:r>
            <w:r w:rsidRPr="001C27A1">
              <w:rPr>
                <w:rFonts w:asciiTheme="minorHAnsi" w:hAnsiTheme="minorHAnsi"/>
                <w:sz w:val="20"/>
                <w:szCs w:val="20"/>
                <w:lang w:val="sr-Cyrl-RS"/>
              </w:rPr>
              <w:t>00</w:t>
            </w:r>
            <w:r w:rsidRPr="001C27A1">
              <w:rPr>
                <w:rFonts w:asciiTheme="minorHAnsi" w:hAnsiTheme="minorHAnsi"/>
                <w:sz w:val="20"/>
                <w:szCs w:val="20"/>
              </w:rPr>
              <w:t>.000,00</w:t>
            </w:r>
          </w:p>
        </w:tc>
        <w:tc>
          <w:tcPr>
            <w:tcW w:w="1559" w:type="dxa"/>
            <w:shd w:val="clear" w:color="auto" w:fill="FFFFFF" w:themeFill="background1"/>
            <w:vAlign w:val="center"/>
            <w:hideMark/>
          </w:tcPr>
          <w:p w14:paraId="166038AA"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lang w:val="sr-Cyrl-RS"/>
              </w:rPr>
              <w:t>140.000</w:t>
            </w:r>
            <w:r w:rsidRPr="001C27A1">
              <w:rPr>
                <w:rFonts w:asciiTheme="minorHAnsi" w:hAnsiTheme="minorHAnsi"/>
                <w:sz w:val="20"/>
                <w:szCs w:val="20"/>
              </w:rPr>
              <w:t>,00</w:t>
            </w:r>
          </w:p>
        </w:tc>
        <w:tc>
          <w:tcPr>
            <w:tcW w:w="1843" w:type="dxa"/>
            <w:shd w:val="clear" w:color="auto" w:fill="FFFFFF" w:themeFill="background1"/>
            <w:noWrap/>
            <w:vAlign w:val="center"/>
            <w:hideMark/>
          </w:tcPr>
          <w:p w14:paraId="046A9DAA"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lang w:val="sr-Cyrl-RS"/>
              </w:rPr>
              <w:t>33,33</w:t>
            </w:r>
            <w:r w:rsidRPr="001C27A1">
              <w:rPr>
                <w:rFonts w:asciiTheme="minorHAnsi" w:hAnsiTheme="minorHAnsi"/>
                <w:sz w:val="20"/>
                <w:szCs w:val="20"/>
              </w:rPr>
              <w:t>%</w:t>
            </w:r>
          </w:p>
        </w:tc>
      </w:tr>
      <w:tr w:rsidR="00545FA4" w:rsidRPr="001C27A1" w14:paraId="5AA2BE6D" w14:textId="77777777" w:rsidTr="001C27A1">
        <w:trPr>
          <w:trHeight w:val="222"/>
        </w:trPr>
        <w:tc>
          <w:tcPr>
            <w:tcW w:w="2992" w:type="dxa"/>
            <w:shd w:val="clear" w:color="auto" w:fill="8DB3E2" w:themeFill="text2" w:themeFillTint="66"/>
            <w:hideMark/>
          </w:tcPr>
          <w:p w14:paraId="73434D56" w14:textId="77777777" w:rsidR="00545FA4" w:rsidRPr="001C27A1" w:rsidRDefault="001C27A1" w:rsidP="00545FA4">
            <w:pPr>
              <w:jc w:val="center"/>
              <w:rPr>
                <w:rFonts w:asciiTheme="minorHAnsi" w:hAnsiTheme="minorHAnsi"/>
                <w:sz w:val="20"/>
                <w:szCs w:val="20"/>
              </w:rPr>
            </w:pPr>
            <w:r>
              <w:rPr>
                <w:rFonts w:asciiTheme="minorHAnsi" w:hAnsiTheme="minorHAnsi"/>
                <w:b/>
                <w:bCs/>
                <w:color w:val="auto"/>
                <w:sz w:val="20"/>
                <w:szCs w:val="20"/>
                <w:lang w:val="sr-Cyrl-BA"/>
              </w:rPr>
              <w:t>У</w:t>
            </w:r>
            <w:r w:rsidR="00545FA4" w:rsidRPr="001C27A1">
              <w:rPr>
                <w:rFonts w:asciiTheme="minorHAnsi" w:hAnsiTheme="minorHAnsi"/>
                <w:b/>
                <w:bCs/>
                <w:color w:val="auto"/>
                <w:sz w:val="20"/>
                <w:szCs w:val="20"/>
                <w:lang w:val="sr-Cyrl-BA"/>
              </w:rPr>
              <w:t>купно</w:t>
            </w:r>
          </w:p>
        </w:tc>
        <w:tc>
          <w:tcPr>
            <w:tcW w:w="992" w:type="dxa"/>
            <w:shd w:val="clear" w:color="auto" w:fill="8DB3E2" w:themeFill="text2" w:themeFillTint="66"/>
          </w:tcPr>
          <w:p w14:paraId="77FAD7DF"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lang w:val="sr-Cyrl-RS"/>
              </w:rPr>
              <w:t>2</w:t>
            </w:r>
          </w:p>
        </w:tc>
        <w:tc>
          <w:tcPr>
            <w:tcW w:w="1418" w:type="dxa"/>
            <w:shd w:val="clear" w:color="auto" w:fill="8DB3E2" w:themeFill="text2" w:themeFillTint="66"/>
            <w:vAlign w:val="center"/>
            <w:hideMark/>
          </w:tcPr>
          <w:p w14:paraId="6D387B1F" w14:textId="77777777" w:rsidR="00545FA4" w:rsidRPr="001C27A1" w:rsidRDefault="00545FA4" w:rsidP="00545FA4">
            <w:pPr>
              <w:jc w:val="right"/>
              <w:rPr>
                <w:rFonts w:asciiTheme="minorHAnsi" w:hAnsiTheme="minorHAnsi"/>
                <w:sz w:val="20"/>
                <w:szCs w:val="20"/>
                <w:lang w:val="sr-Cyrl-RS"/>
              </w:rPr>
            </w:pPr>
            <w:r w:rsidRPr="001C27A1">
              <w:rPr>
                <w:rFonts w:asciiTheme="minorHAnsi" w:hAnsiTheme="minorHAnsi"/>
                <w:b/>
                <w:bCs/>
                <w:color w:val="auto"/>
                <w:sz w:val="20"/>
                <w:szCs w:val="20"/>
                <w:lang w:val="sr-Cyrl-RS"/>
              </w:rPr>
              <w:t>600.000,00</w:t>
            </w:r>
          </w:p>
        </w:tc>
        <w:tc>
          <w:tcPr>
            <w:tcW w:w="1559" w:type="dxa"/>
            <w:shd w:val="clear" w:color="auto" w:fill="8DB3E2" w:themeFill="text2" w:themeFillTint="66"/>
            <w:vAlign w:val="center"/>
            <w:hideMark/>
          </w:tcPr>
          <w:p w14:paraId="2AD850DE" w14:textId="77777777" w:rsidR="00545FA4" w:rsidRPr="001C27A1" w:rsidRDefault="00545FA4" w:rsidP="00545FA4">
            <w:pPr>
              <w:jc w:val="right"/>
              <w:rPr>
                <w:rFonts w:asciiTheme="minorHAnsi" w:hAnsiTheme="minorHAnsi"/>
                <w:sz w:val="20"/>
                <w:szCs w:val="20"/>
              </w:rPr>
            </w:pPr>
            <w:r w:rsidRPr="001C27A1">
              <w:rPr>
                <w:rFonts w:asciiTheme="minorHAnsi" w:hAnsiTheme="minorHAnsi"/>
                <w:b/>
                <w:bCs/>
                <w:color w:val="auto"/>
                <w:sz w:val="20"/>
                <w:szCs w:val="20"/>
                <w:lang w:val="sr-Cyrl-RS"/>
              </w:rPr>
              <w:t>420</w:t>
            </w:r>
            <w:r w:rsidRPr="001C27A1">
              <w:rPr>
                <w:rFonts w:asciiTheme="minorHAnsi" w:hAnsiTheme="minorHAnsi"/>
                <w:b/>
                <w:bCs/>
                <w:color w:val="auto"/>
                <w:sz w:val="20"/>
                <w:szCs w:val="20"/>
              </w:rPr>
              <w:t>.000,00</w:t>
            </w:r>
          </w:p>
        </w:tc>
        <w:tc>
          <w:tcPr>
            <w:tcW w:w="1843" w:type="dxa"/>
            <w:shd w:val="clear" w:color="auto" w:fill="8DB3E2" w:themeFill="text2" w:themeFillTint="66"/>
            <w:noWrap/>
            <w:vAlign w:val="center"/>
            <w:hideMark/>
          </w:tcPr>
          <w:p w14:paraId="47A3312F" w14:textId="77777777" w:rsidR="00545FA4" w:rsidRPr="001C27A1" w:rsidRDefault="00545FA4" w:rsidP="00545FA4">
            <w:pPr>
              <w:jc w:val="right"/>
              <w:rPr>
                <w:rFonts w:asciiTheme="minorHAnsi" w:hAnsiTheme="minorHAnsi"/>
                <w:sz w:val="20"/>
                <w:szCs w:val="20"/>
                <w:lang w:val="sr-Cyrl-RS"/>
              </w:rPr>
            </w:pPr>
            <w:r w:rsidRPr="001C27A1">
              <w:rPr>
                <w:rFonts w:asciiTheme="minorHAnsi" w:hAnsiTheme="minorHAnsi"/>
                <w:b/>
                <w:bCs/>
                <w:color w:val="auto"/>
                <w:sz w:val="20"/>
                <w:szCs w:val="20"/>
              </w:rPr>
              <w:t>100,00</w:t>
            </w:r>
            <w:r w:rsidRPr="001C27A1">
              <w:rPr>
                <w:rFonts w:asciiTheme="minorHAnsi" w:hAnsiTheme="minorHAnsi"/>
                <w:b/>
                <w:bCs/>
                <w:color w:val="auto"/>
                <w:sz w:val="20"/>
                <w:szCs w:val="20"/>
                <w:lang w:val="sr-Cyrl-RS"/>
              </w:rPr>
              <w:t>%</w:t>
            </w:r>
          </w:p>
        </w:tc>
      </w:tr>
    </w:tbl>
    <w:p w14:paraId="30703A15"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5C711357" w14:textId="77777777" w:rsidR="00545FA4" w:rsidRPr="001C27A1" w:rsidRDefault="00545FA4" w:rsidP="00545FA4">
      <w:pPr>
        <w:spacing w:line="276" w:lineRule="auto"/>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Гарантни програм подршке привреди за ублажавање посљедица пандемије болести COVID-19 је престао да се спроводи 31.12.2022. године, те од тог тренутка није могуће ук</w:t>
      </w:r>
      <w:r w:rsidR="002B5C72">
        <w:rPr>
          <w:rFonts w:asciiTheme="minorHAnsi" w:eastAsiaTheme="minorHAnsi" w:hAnsiTheme="minorHAnsi"/>
          <w:color w:val="auto"/>
          <w:sz w:val="20"/>
          <w:szCs w:val="20"/>
          <w:lang w:val="sr-Cyrl-BA" w:eastAsia="en-US"/>
        </w:rPr>
        <w:t>ључивање нових кредита у портфолио</w:t>
      </w:r>
      <w:r w:rsidRPr="001C27A1">
        <w:rPr>
          <w:rFonts w:asciiTheme="minorHAnsi" w:eastAsiaTheme="minorHAnsi" w:hAnsiTheme="minorHAnsi"/>
          <w:color w:val="auto"/>
          <w:sz w:val="20"/>
          <w:szCs w:val="20"/>
          <w:lang w:val="sr-Cyrl-BA" w:eastAsia="en-US"/>
        </w:rPr>
        <w:t>. Изузетак су пласмани гдје је уговор о кредиту потписан до краја наведеног датума, а средства пласирана до краја јануара 2023. године.</w:t>
      </w:r>
      <w:r w:rsidR="002B5C72">
        <w:rPr>
          <w:rFonts w:asciiTheme="minorHAnsi" w:eastAsiaTheme="minorHAnsi" w:hAnsiTheme="minorHAnsi"/>
          <w:color w:val="auto"/>
          <w:sz w:val="20"/>
          <w:szCs w:val="20"/>
          <w:lang w:val="sr-Cyrl-BA" w:eastAsia="en-US"/>
        </w:rPr>
        <w:t xml:space="preserve"> У складу с тим, табела 19</w:t>
      </w:r>
      <w:r w:rsidRPr="001C27A1">
        <w:rPr>
          <w:rFonts w:asciiTheme="minorHAnsi" w:eastAsiaTheme="minorHAnsi" w:hAnsiTheme="minorHAnsi"/>
          <w:color w:val="auto"/>
          <w:sz w:val="20"/>
          <w:szCs w:val="20"/>
          <w:lang w:val="sr-Cyrl-BA" w:eastAsia="en-US"/>
        </w:rPr>
        <w:t xml:space="preserve"> даје преглед два кредита код којих је уговор потписан у децембру 2022. године, а средства исплаћена током јануара 2023. године. Укупан износ пласираних кредита је 600.000,00 КМ, док је износ припадајућих гаранција 420.000,00 КМ.</w:t>
      </w:r>
    </w:p>
    <w:p w14:paraId="78FFD707" w14:textId="77777777" w:rsidR="00545FA4" w:rsidRDefault="00545FA4" w:rsidP="00545FA4">
      <w:pPr>
        <w:spacing w:line="276" w:lineRule="auto"/>
        <w:rPr>
          <w:rFonts w:asciiTheme="minorHAnsi" w:eastAsiaTheme="minorHAnsi" w:hAnsiTheme="minorHAnsi"/>
          <w:color w:val="auto"/>
          <w:sz w:val="20"/>
          <w:szCs w:val="20"/>
          <w:lang w:val="sr-Cyrl-RS" w:eastAsia="en-US"/>
        </w:rPr>
      </w:pPr>
    </w:p>
    <w:p w14:paraId="09E9335D" w14:textId="77777777" w:rsidR="00545FA4" w:rsidRDefault="00545FA4" w:rsidP="00545FA4">
      <w:pPr>
        <w:spacing w:line="276" w:lineRule="auto"/>
        <w:rPr>
          <w:rFonts w:asciiTheme="minorHAnsi" w:eastAsiaTheme="minorHAnsi" w:hAnsiTheme="minorHAnsi"/>
          <w:color w:val="auto"/>
          <w:sz w:val="20"/>
          <w:szCs w:val="20"/>
          <w:lang w:val="sr-Cyrl-RS" w:eastAsia="en-US"/>
        </w:rPr>
      </w:pPr>
    </w:p>
    <w:p w14:paraId="52642829" w14:textId="77777777" w:rsidR="00A944C8" w:rsidRDefault="00A944C8" w:rsidP="00545FA4">
      <w:pPr>
        <w:spacing w:line="276" w:lineRule="auto"/>
        <w:rPr>
          <w:rFonts w:asciiTheme="minorHAnsi" w:eastAsiaTheme="minorHAnsi" w:hAnsiTheme="minorHAnsi"/>
          <w:color w:val="auto"/>
          <w:sz w:val="20"/>
          <w:szCs w:val="20"/>
          <w:lang w:val="sr-Cyrl-RS" w:eastAsia="en-US"/>
        </w:rPr>
      </w:pPr>
    </w:p>
    <w:p w14:paraId="6765A1A1" w14:textId="77777777" w:rsidR="00536E78" w:rsidRPr="001C27A1" w:rsidRDefault="00536E78" w:rsidP="00545FA4">
      <w:pPr>
        <w:spacing w:line="276" w:lineRule="auto"/>
        <w:rPr>
          <w:rFonts w:asciiTheme="minorHAnsi" w:eastAsiaTheme="minorHAnsi" w:hAnsiTheme="minorHAnsi"/>
          <w:color w:val="auto"/>
          <w:sz w:val="20"/>
          <w:szCs w:val="20"/>
          <w:lang w:val="sr-Cyrl-RS" w:eastAsia="en-US"/>
        </w:rPr>
      </w:pPr>
    </w:p>
    <w:p w14:paraId="40F69D8A" w14:textId="77777777" w:rsidR="00545FA4" w:rsidRPr="001C27A1" w:rsidRDefault="00545FA4" w:rsidP="00545FA4">
      <w:pPr>
        <w:spacing w:line="276" w:lineRule="auto"/>
        <w:jc w:val="center"/>
        <w:rPr>
          <w:rFonts w:asciiTheme="minorHAnsi" w:hAnsiTheme="minorHAnsi"/>
          <w:b/>
          <w:sz w:val="20"/>
          <w:szCs w:val="20"/>
          <w:lang w:val="sr-Cyrl-RS"/>
        </w:rPr>
      </w:pPr>
      <w:r w:rsidRPr="001C27A1">
        <w:rPr>
          <w:rFonts w:asciiTheme="minorHAnsi" w:hAnsiTheme="minorHAnsi"/>
          <w:b/>
          <w:sz w:val="20"/>
          <w:szCs w:val="20"/>
          <w:lang w:val="sr-Cyrl-RS"/>
        </w:rPr>
        <w:t xml:space="preserve">Преглед укупно реализованих кредита </w:t>
      </w:r>
      <w:r w:rsidRPr="001C27A1">
        <w:rPr>
          <w:rFonts w:asciiTheme="minorHAnsi" w:hAnsiTheme="minorHAnsi"/>
          <w:b/>
          <w:sz w:val="20"/>
          <w:szCs w:val="20"/>
          <w:lang w:val="sr-Cyrl-BA"/>
        </w:rPr>
        <w:t xml:space="preserve">из Програма </w:t>
      </w:r>
      <w:r w:rsidRPr="001C27A1">
        <w:rPr>
          <w:rFonts w:asciiTheme="minorHAnsi" w:hAnsiTheme="minorHAnsi"/>
          <w:b/>
          <w:sz w:val="20"/>
          <w:szCs w:val="20"/>
        </w:rPr>
        <w:t>COVID-</w:t>
      </w:r>
      <w:r w:rsidRPr="001C27A1">
        <w:rPr>
          <w:rFonts w:asciiTheme="minorHAnsi" w:hAnsiTheme="minorHAnsi"/>
          <w:b/>
          <w:sz w:val="20"/>
          <w:szCs w:val="20"/>
          <w:lang w:val="sr-Latn-BA"/>
        </w:rPr>
        <w:t>19</w:t>
      </w:r>
      <w:r w:rsidRPr="001C27A1">
        <w:rPr>
          <w:rFonts w:asciiTheme="minorHAnsi" w:hAnsiTheme="minorHAnsi"/>
          <w:b/>
          <w:sz w:val="20"/>
          <w:szCs w:val="20"/>
          <w:lang w:val="sr-Cyrl-RS"/>
        </w:rPr>
        <w:t xml:space="preserve"> по годинама </w:t>
      </w:r>
    </w:p>
    <w:p w14:paraId="5006A13B" w14:textId="77777777" w:rsidR="00545FA4" w:rsidRPr="001C27A1" w:rsidRDefault="00545FA4" w:rsidP="00545FA4">
      <w:pPr>
        <w:spacing w:line="276" w:lineRule="auto"/>
        <w:rPr>
          <w:rFonts w:asciiTheme="minorHAnsi" w:hAnsiTheme="minorHAnsi"/>
          <w:sz w:val="20"/>
          <w:szCs w:val="20"/>
          <w:lang w:val="sr-Cyrl-RS"/>
        </w:rPr>
      </w:pP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p>
    <w:p w14:paraId="29643611" w14:textId="77777777" w:rsidR="00545FA4" w:rsidRPr="001C27A1" w:rsidRDefault="002B5C72" w:rsidP="00545FA4">
      <w:pPr>
        <w:spacing w:line="276" w:lineRule="auto"/>
        <w:ind w:left="6372" w:firstLine="708"/>
        <w:rPr>
          <w:rFonts w:asciiTheme="minorHAnsi" w:hAnsiTheme="minorHAnsi"/>
          <w:b/>
          <w:color w:val="auto"/>
          <w:sz w:val="20"/>
          <w:szCs w:val="20"/>
          <w:lang w:val="sr-Cyrl-RS"/>
        </w:rPr>
      </w:pPr>
      <w:r>
        <w:rPr>
          <w:rFonts w:asciiTheme="minorHAnsi" w:hAnsiTheme="minorHAnsi"/>
          <w:b/>
          <w:color w:val="auto"/>
          <w:sz w:val="20"/>
          <w:szCs w:val="20"/>
          <w:lang w:val="sr-Cyrl-RS"/>
        </w:rPr>
        <w:t xml:space="preserve">                  </w:t>
      </w:r>
      <w:r w:rsidR="00A944C8">
        <w:rPr>
          <w:rFonts w:asciiTheme="minorHAnsi" w:hAnsiTheme="minorHAnsi"/>
          <w:b/>
          <w:color w:val="auto"/>
          <w:sz w:val="20"/>
          <w:szCs w:val="20"/>
          <w:lang w:val="sr-Cyrl-RS"/>
        </w:rPr>
        <w:t>Табела 18</w:t>
      </w:r>
    </w:p>
    <w:tbl>
      <w:tblPr>
        <w:tblW w:w="8804" w:type="dxa"/>
        <w:tblInd w:w="93" w:type="dxa"/>
        <w:tblLook w:val="04A0" w:firstRow="1" w:lastRow="0" w:firstColumn="1" w:lastColumn="0" w:noHBand="0" w:noVBand="1"/>
      </w:tblPr>
      <w:tblGrid>
        <w:gridCol w:w="1433"/>
        <w:gridCol w:w="1843"/>
        <w:gridCol w:w="2126"/>
        <w:gridCol w:w="1984"/>
        <w:gridCol w:w="1418"/>
      </w:tblGrid>
      <w:tr w:rsidR="00545FA4" w:rsidRPr="001C27A1" w14:paraId="6F007D24" w14:textId="77777777" w:rsidTr="002B5C72">
        <w:trPr>
          <w:trHeight w:val="765"/>
        </w:trPr>
        <w:tc>
          <w:tcPr>
            <w:tcW w:w="14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47AF7A8"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Година</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7C7B9476"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Број  кредита</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2BFB680E"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кредита</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6D3BE38"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гаранција</w:t>
            </w:r>
          </w:p>
        </w:tc>
        <w:tc>
          <w:tcPr>
            <w:tcW w:w="1418"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64356214"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Учешће</w:t>
            </w:r>
          </w:p>
        </w:tc>
      </w:tr>
      <w:tr w:rsidR="00545FA4" w:rsidRPr="001C27A1" w14:paraId="74A37DBD"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00CDD328"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2020.</w:t>
            </w:r>
          </w:p>
        </w:tc>
        <w:tc>
          <w:tcPr>
            <w:tcW w:w="1843" w:type="dxa"/>
            <w:tcBorders>
              <w:top w:val="nil"/>
              <w:left w:val="nil"/>
              <w:bottom w:val="single" w:sz="4" w:space="0" w:color="auto"/>
              <w:right w:val="single" w:sz="4" w:space="0" w:color="auto"/>
            </w:tcBorders>
            <w:noWrap/>
            <w:vAlign w:val="center"/>
            <w:hideMark/>
          </w:tcPr>
          <w:p w14:paraId="732A496B"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94</w:t>
            </w:r>
          </w:p>
        </w:tc>
        <w:tc>
          <w:tcPr>
            <w:tcW w:w="2126" w:type="dxa"/>
            <w:tcBorders>
              <w:top w:val="nil"/>
              <w:left w:val="nil"/>
              <w:bottom w:val="single" w:sz="4" w:space="0" w:color="auto"/>
              <w:right w:val="single" w:sz="4" w:space="0" w:color="auto"/>
            </w:tcBorders>
            <w:noWrap/>
            <w:vAlign w:val="center"/>
            <w:hideMark/>
          </w:tcPr>
          <w:p w14:paraId="384F8E4D"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9.751.501,</w:t>
            </w:r>
            <w:r w:rsidRPr="002B5C72">
              <w:rPr>
                <w:rFonts w:asciiTheme="minorHAnsi" w:hAnsiTheme="minorHAnsi"/>
                <w:sz w:val="18"/>
                <w:szCs w:val="18"/>
                <w:lang w:val="sr-Cyrl-RS"/>
              </w:rPr>
              <w:t>0</w:t>
            </w:r>
            <w:r w:rsidRPr="002B5C72">
              <w:rPr>
                <w:rFonts w:asciiTheme="minorHAnsi" w:hAnsiTheme="minorHAnsi"/>
                <w:sz w:val="18"/>
                <w:szCs w:val="18"/>
              </w:rPr>
              <w:t>0</w:t>
            </w:r>
          </w:p>
        </w:tc>
        <w:tc>
          <w:tcPr>
            <w:tcW w:w="1984" w:type="dxa"/>
            <w:tcBorders>
              <w:top w:val="nil"/>
              <w:left w:val="nil"/>
              <w:bottom w:val="single" w:sz="4" w:space="0" w:color="auto"/>
              <w:right w:val="single" w:sz="4" w:space="0" w:color="auto"/>
            </w:tcBorders>
            <w:noWrap/>
            <w:vAlign w:val="center"/>
            <w:hideMark/>
          </w:tcPr>
          <w:p w14:paraId="5F12EBB9"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6.826.051,</w:t>
            </w:r>
            <w:r w:rsidRPr="002B5C72">
              <w:rPr>
                <w:rFonts w:asciiTheme="minorHAnsi" w:hAnsiTheme="minorHAnsi"/>
                <w:sz w:val="18"/>
                <w:szCs w:val="18"/>
                <w:lang w:val="sr-Cyrl-RS"/>
              </w:rPr>
              <w:t>70</w:t>
            </w:r>
          </w:p>
        </w:tc>
        <w:tc>
          <w:tcPr>
            <w:tcW w:w="1418" w:type="dxa"/>
            <w:tcBorders>
              <w:top w:val="nil"/>
              <w:left w:val="nil"/>
              <w:bottom w:val="single" w:sz="4" w:space="0" w:color="auto"/>
              <w:right w:val="single" w:sz="4" w:space="0" w:color="auto"/>
            </w:tcBorders>
            <w:noWrap/>
            <w:vAlign w:val="center"/>
            <w:hideMark/>
          </w:tcPr>
          <w:p w14:paraId="73EA0A8B"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16,01%</w:t>
            </w:r>
          </w:p>
        </w:tc>
      </w:tr>
      <w:tr w:rsidR="00545FA4" w:rsidRPr="001C27A1" w14:paraId="2FDFB8AC"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3F1BB69E"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2021.</w:t>
            </w:r>
          </w:p>
        </w:tc>
        <w:tc>
          <w:tcPr>
            <w:tcW w:w="1843" w:type="dxa"/>
            <w:tcBorders>
              <w:top w:val="nil"/>
              <w:left w:val="nil"/>
              <w:bottom w:val="single" w:sz="4" w:space="0" w:color="auto"/>
              <w:right w:val="single" w:sz="4" w:space="0" w:color="auto"/>
            </w:tcBorders>
            <w:noWrap/>
            <w:vAlign w:val="center"/>
            <w:hideMark/>
          </w:tcPr>
          <w:p w14:paraId="2539A816"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238</w:t>
            </w:r>
          </w:p>
        </w:tc>
        <w:tc>
          <w:tcPr>
            <w:tcW w:w="2126" w:type="dxa"/>
            <w:tcBorders>
              <w:top w:val="nil"/>
              <w:left w:val="nil"/>
              <w:bottom w:val="single" w:sz="4" w:space="0" w:color="auto"/>
              <w:right w:val="single" w:sz="4" w:space="0" w:color="auto"/>
            </w:tcBorders>
            <w:noWrap/>
            <w:vAlign w:val="center"/>
            <w:hideMark/>
          </w:tcPr>
          <w:p w14:paraId="2FF221EB"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32.556.</w:t>
            </w:r>
            <w:r w:rsidRPr="002B5C72">
              <w:rPr>
                <w:rFonts w:asciiTheme="minorHAnsi" w:hAnsiTheme="minorHAnsi"/>
                <w:sz w:val="18"/>
                <w:szCs w:val="18"/>
                <w:lang w:val="sr-Cyrl-RS"/>
              </w:rPr>
              <w:t>128,00</w:t>
            </w:r>
          </w:p>
        </w:tc>
        <w:tc>
          <w:tcPr>
            <w:tcW w:w="1984" w:type="dxa"/>
            <w:tcBorders>
              <w:top w:val="nil"/>
              <w:left w:val="nil"/>
              <w:bottom w:val="single" w:sz="4" w:space="0" w:color="auto"/>
              <w:right w:val="single" w:sz="4" w:space="0" w:color="auto"/>
            </w:tcBorders>
            <w:noWrap/>
            <w:vAlign w:val="center"/>
            <w:hideMark/>
          </w:tcPr>
          <w:p w14:paraId="770C0A9C"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22.789.289,</w:t>
            </w:r>
            <w:r w:rsidRPr="002B5C72">
              <w:rPr>
                <w:rFonts w:asciiTheme="minorHAnsi" w:hAnsiTheme="minorHAnsi"/>
                <w:sz w:val="18"/>
                <w:szCs w:val="18"/>
                <w:lang w:val="sr-Cyrl-RS"/>
              </w:rPr>
              <w:t>60</w:t>
            </w:r>
          </w:p>
        </w:tc>
        <w:tc>
          <w:tcPr>
            <w:tcW w:w="1418" w:type="dxa"/>
            <w:tcBorders>
              <w:top w:val="nil"/>
              <w:left w:val="nil"/>
              <w:bottom w:val="single" w:sz="4" w:space="0" w:color="auto"/>
              <w:right w:val="single" w:sz="4" w:space="0" w:color="auto"/>
            </w:tcBorders>
            <w:noWrap/>
            <w:vAlign w:val="center"/>
            <w:hideMark/>
          </w:tcPr>
          <w:p w14:paraId="2400058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53,45%</w:t>
            </w:r>
          </w:p>
        </w:tc>
      </w:tr>
      <w:tr w:rsidR="00545FA4" w:rsidRPr="001C27A1" w14:paraId="5821AE8C"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34BC68AA"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2022.</w:t>
            </w:r>
          </w:p>
        </w:tc>
        <w:tc>
          <w:tcPr>
            <w:tcW w:w="1843" w:type="dxa"/>
            <w:tcBorders>
              <w:top w:val="nil"/>
              <w:left w:val="nil"/>
              <w:bottom w:val="single" w:sz="4" w:space="0" w:color="auto"/>
              <w:right w:val="single" w:sz="4" w:space="0" w:color="auto"/>
            </w:tcBorders>
            <w:noWrap/>
            <w:vAlign w:val="center"/>
            <w:hideMark/>
          </w:tcPr>
          <w:p w14:paraId="3B0814DB"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82</w:t>
            </w:r>
          </w:p>
        </w:tc>
        <w:tc>
          <w:tcPr>
            <w:tcW w:w="2126" w:type="dxa"/>
            <w:tcBorders>
              <w:top w:val="nil"/>
              <w:left w:val="nil"/>
              <w:bottom w:val="single" w:sz="4" w:space="0" w:color="auto"/>
              <w:right w:val="single" w:sz="4" w:space="0" w:color="auto"/>
            </w:tcBorders>
            <w:noWrap/>
            <w:vAlign w:val="center"/>
            <w:hideMark/>
          </w:tcPr>
          <w:p w14:paraId="4014D9E5" w14:textId="77777777" w:rsidR="00545FA4" w:rsidRPr="002B5C72" w:rsidRDefault="00545FA4" w:rsidP="00545FA4">
            <w:pPr>
              <w:jc w:val="right"/>
              <w:rPr>
                <w:rFonts w:asciiTheme="minorHAnsi" w:hAnsiTheme="minorHAnsi"/>
                <w:color w:val="000000" w:themeColor="text1"/>
                <w:sz w:val="18"/>
                <w:szCs w:val="18"/>
              </w:rPr>
            </w:pPr>
            <w:r w:rsidRPr="002B5C72">
              <w:rPr>
                <w:rFonts w:asciiTheme="minorHAnsi" w:hAnsiTheme="minorHAnsi"/>
                <w:color w:val="000000" w:themeColor="text1"/>
                <w:sz w:val="18"/>
                <w:szCs w:val="18"/>
              </w:rPr>
              <w:t>18.003.000,01</w:t>
            </w:r>
          </w:p>
        </w:tc>
        <w:tc>
          <w:tcPr>
            <w:tcW w:w="1984" w:type="dxa"/>
            <w:tcBorders>
              <w:top w:val="nil"/>
              <w:left w:val="nil"/>
              <w:bottom w:val="single" w:sz="4" w:space="0" w:color="auto"/>
              <w:right w:val="single" w:sz="4" w:space="0" w:color="auto"/>
            </w:tcBorders>
            <w:noWrap/>
            <w:vAlign w:val="center"/>
            <w:hideMark/>
          </w:tcPr>
          <w:p w14:paraId="7AF7F2D7" w14:textId="77777777" w:rsidR="00545FA4" w:rsidRPr="002B5C72" w:rsidRDefault="00545FA4" w:rsidP="00545FA4">
            <w:pPr>
              <w:jc w:val="right"/>
              <w:rPr>
                <w:rFonts w:asciiTheme="minorHAnsi" w:hAnsiTheme="minorHAnsi"/>
                <w:color w:val="000000" w:themeColor="text1"/>
                <w:sz w:val="18"/>
                <w:szCs w:val="18"/>
                <w:lang w:val="sr-Cyrl-RS"/>
              </w:rPr>
            </w:pPr>
            <w:r w:rsidRPr="002B5C72">
              <w:rPr>
                <w:rFonts w:asciiTheme="minorHAnsi" w:hAnsiTheme="minorHAnsi"/>
                <w:color w:val="000000" w:themeColor="text1"/>
                <w:sz w:val="18"/>
                <w:szCs w:val="18"/>
              </w:rPr>
              <w:t>12.602.100,0</w:t>
            </w:r>
            <w:r w:rsidRPr="002B5C72">
              <w:rPr>
                <w:rFonts w:asciiTheme="minorHAnsi" w:hAnsiTheme="minorHAnsi"/>
                <w:color w:val="000000" w:themeColor="text1"/>
                <w:sz w:val="18"/>
                <w:szCs w:val="18"/>
                <w:lang w:val="sr-Cyrl-RS"/>
              </w:rPr>
              <w:t>0</w:t>
            </w:r>
          </w:p>
        </w:tc>
        <w:tc>
          <w:tcPr>
            <w:tcW w:w="1418" w:type="dxa"/>
            <w:tcBorders>
              <w:top w:val="nil"/>
              <w:left w:val="nil"/>
              <w:bottom w:val="single" w:sz="4" w:space="0" w:color="auto"/>
              <w:right w:val="single" w:sz="4" w:space="0" w:color="auto"/>
            </w:tcBorders>
            <w:noWrap/>
            <w:vAlign w:val="center"/>
            <w:hideMark/>
          </w:tcPr>
          <w:p w14:paraId="152C1B58"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lang w:val="sr-Cyrl-RS"/>
              </w:rPr>
              <w:t>29,56</w:t>
            </w:r>
            <w:r w:rsidRPr="002B5C72">
              <w:rPr>
                <w:rFonts w:asciiTheme="minorHAnsi" w:hAnsiTheme="minorHAnsi"/>
                <w:sz w:val="18"/>
                <w:szCs w:val="18"/>
              </w:rPr>
              <w:t>%</w:t>
            </w:r>
          </w:p>
        </w:tc>
      </w:tr>
      <w:tr w:rsidR="00545FA4" w:rsidRPr="001C27A1" w14:paraId="351D0D59" w14:textId="77777777" w:rsidTr="002B5C72">
        <w:trPr>
          <w:trHeight w:val="315"/>
        </w:trPr>
        <w:tc>
          <w:tcPr>
            <w:tcW w:w="1433"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1F3217D0" w14:textId="77777777" w:rsidR="00545FA4" w:rsidRPr="002B5C72" w:rsidRDefault="00545FA4" w:rsidP="002B5C72">
            <w:pPr>
              <w:jc w:val="center"/>
              <w:rPr>
                <w:rFonts w:asciiTheme="minorHAnsi" w:hAnsiTheme="minorHAnsi"/>
                <w:bCs/>
                <w:sz w:val="18"/>
                <w:szCs w:val="18"/>
              </w:rPr>
            </w:pPr>
            <w:r w:rsidRPr="002B5C72">
              <w:rPr>
                <w:rFonts w:asciiTheme="minorHAnsi" w:hAnsiTheme="minorHAnsi"/>
                <w:bCs/>
                <w:sz w:val="18"/>
                <w:szCs w:val="18"/>
              </w:rPr>
              <w:t>2023.</w:t>
            </w:r>
          </w:p>
        </w:tc>
        <w:tc>
          <w:tcPr>
            <w:tcW w:w="1843" w:type="dxa"/>
            <w:tcBorders>
              <w:top w:val="nil"/>
              <w:left w:val="nil"/>
              <w:bottom w:val="single" w:sz="4" w:space="0" w:color="auto"/>
              <w:right w:val="single" w:sz="4" w:space="0" w:color="auto"/>
            </w:tcBorders>
            <w:shd w:val="clear" w:color="auto" w:fill="F2F2F2" w:themeFill="background1" w:themeFillShade="F2"/>
            <w:noWrap/>
            <w:vAlign w:val="center"/>
          </w:tcPr>
          <w:p w14:paraId="5FC85011" w14:textId="77777777" w:rsidR="00545FA4" w:rsidRPr="002B5C72" w:rsidRDefault="00545FA4" w:rsidP="00545FA4">
            <w:pPr>
              <w:jc w:val="center"/>
              <w:rPr>
                <w:rFonts w:asciiTheme="minorHAnsi" w:hAnsiTheme="minorHAnsi"/>
                <w:bCs/>
                <w:sz w:val="18"/>
                <w:szCs w:val="18"/>
              </w:rPr>
            </w:pPr>
            <w:r w:rsidRPr="002B5C72">
              <w:rPr>
                <w:rFonts w:asciiTheme="minorHAnsi" w:hAnsiTheme="minorHAnsi"/>
                <w:bCs/>
                <w:sz w:val="18"/>
                <w:szCs w:val="18"/>
              </w:rPr>
              <w:t>2</w:t>
            </w:r>
          </w:p>
        </w:tc>
        <w:tc>
          <w:tcPr>
            <w:tcW w:w="2126" w:type="dxa"/>
            <w:tcBorders>
              <w:top w:val="nil"/>
              <w:left w:val="nil"/>
              <w:bottom w:val="single" w:sz="4" w:space="0" w:color="auto"/>
              <w:right w:val="single" w:sz="4" w:space="0" w:color="auto"/>
            </w:tcBorders>
            <w:shd w:val="clear" w:color="auto" w:fill="F2F2F2" w:themeFill="background1" w:themeFillShade="F2"/>
            <w:noWrap/>
            <w:vAlign w:val="center"/>
          </w:tcPr>
          <w:p w14:paraId="22B47D49" w14:textId="77777777"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600.000,00</w:t>
            </w:r>
          </w:p>
        </w:tc>
        <w:tc>
          <w:tcPr>
            <w:tcW w:w="1984" w:type="dxa"/>
            <w:tcBorders>
              <w:top w:val="nil"/>
              <w:left w:val="nil"/>
              <w:bottom w:val="single" w:sz="4" w:space="0" w:color="auto"/>
              <w:right w:val="single" w:sz="4" w:space="0" w:color="auto"/>
            </w:tcBorders>
            <w:shd w:val="clear" w:color="auto" w:fill="F2F2F2" w:themeFill="background1" w:themeFillShade="F2"/>
            <w:noWrap/>
            <w:vAlign w:val="center"/>
          </w:tcPr>
          <w:p w14:paraId="01371C96" w14:textId="77777777"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420.000,00</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tcPr>
          <w:p w14:paraId="3A504969" w14:textId="77777777" w:rsidR="00545FA4" w:rsidRPr="002B5C72" w:rsidRDefault="00545FA4" w:rsidP="00545FA4">
            <w:pPr>
              <w:jc w:val="right"/>
              <w:rPr>
                <w:rFonts w:asciiTheme="minorHAnsi" w:hAnsiTheme="minorHAnsi"/>
                <w:bCs/>
                <w:sz w:val="18"/>
                <w:szCs w:val="18"/>
                <w:lang w:val="sr-Cyrl-RS"/>
              </w:rPr>
            </w:pPr>
            <w:r w:rsidRPr="002B5C72">
              <w:rPr>
                <w:rFonts w:asciiTheme="minorHAnsi" w:hAnsiTheme="minorHAnsi"/>
                <w:bCs/>
                <w:sz w:val="18"/>
                <w:szCs w:val="18"/>
                <w:lang w:val="sr-Cyrl-RS"/>
              </w:rPr>
              <w:t>0,98%</w:t>
            </w:r>
          </w:p>
        </w:tc>
      </w:tr>
      <w:tr w:rsidR="00545FA4" w:rsidRPr="001C27A1" w14:paraId="1AE0CB82" w14:textId="77777777" w:rsidTr="002B5C72">
        <w:trPr>
          <w:trHeight w:val="315"/>
        </w:trPr>
        <w:tc>
          <w:tcPr>
            <w:tcW w:w="1433"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3695EA39" w14:textId="77777777" w:rsidR="00545FA4" w:rsidRPr="002B5C72" w:rsidRDefault="00545FA4" w:rsidP="00545FA4">
            <w:pPr>
              <w:rPr>
                <w:rFonts w:asciiTheme="minorHAnsi" w:hAnsiTheme="minorHAnsi"/>
                <w:b/>
                <w:bCs/>
                <w:sz w:val="18"/>
                <w:szCs w:val="18"/>
              </w:rPr>
            </w:pPr>
            <w:r w:rsidRPr="002B5C72">
              <w:rPr>
                <w:rFonts w:asciiTheme="minorHAnsi" w:hAnsiTheme="minorHAnsi"/>
                <w:b/>
                <w:bCs/>
                <w:sz w:val="18"/>
                <w:szCs w:val="18"/>
                <w:lang w:val="sr-Cyrl-BA"/>
              </w:rPr>
              <w:t>Укупно</w:t>
            </w:r>
          </w:p>
        </w:tc>
        <w:tc>
          <w:tcPr>
            <w:tcW w:w="1843" w:type="dxa"/>
            <w:tcBorders>
              <w:top w:val="nil"/>
              <w:left w:val="nil"/>
              <w:bottom w:val="single" w:sz="4" w:space="0" w:color="auto"/>
              <w:right w:val="single" w:sz="4" w:space="0" w:color="auto"/>
            </w:tcBorders>
            <w:shd w:val="clear" w:color="auto" w:fill="8DB3E2" w:themeFill="text2" w:themeFillTint="66"/>
            <w:noWrap/>
            <w:vAlign w:val="center"/>
            <w:hideMark/>
          </w:tcPr>
          <w:p w14:paraId="30474CD9"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416</w:t>
            </w:r>
          </w:p>
        </w:tc>
        <w:tc>
          <w:tcPr>
            <w:tcW w:w="2126" w:type="dxa"/>
            <w:tcBorders>
              <w:top w:val="nil"/>
              <w:left w:val="nil"/>
              <w:bottom w:val="single" w:sz="4" w:space="0" w:color="auto"/>
              <w:right w:val="single" w:sz="4" w:space="0" w:color="auto"/>
            </w:tcBorders>
            <w:shd w:val="clear" w:color="auto" w:fill="8DB3E2" w:themeFill="text2" w:themeFillTint="66"/>
            <w:noWrap/>
            <w:vAlign w:val="center"/>
            <w:hideMark/>
          </w:tcPr>
          <w:p w14:paraId="3A5BE6E4" w14:textId="77777777"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60.910.629,</w:t>
            </w:r>
            <w:r w:rsidRPr="002B5C72">
              <w:rPr>
                <w:rFonts w:asciiTheme="minorHAnsi" w:hAnsiTheme="minorHAnsi"/>
                <w:b/>
                <w:bCs/>
                <w:sz w:val="18"/>
                <w:szCs w:val="18"/>
                <w:lang w:val="sr-Cyrl-RS"/>
              </w:rPr>
              <w:t>00</w:t>
            </w:r>
          </w:p>
        </w:tc>
        <w:tc>
          <w:tcPr>
            <w:tcW w:w="1984" w:type="dxa"/>
            <w:tcBorders>
              <w:top w:val="nil"/>
              <w:left w:val="nil"/>
              <w:bottom w:val="single" w:sz="4" w:space="0" w:color="auto"/>
              <w:right w:val="single" w:sz="4" w:space="0" w:color="auto"/>
            </w:tcBorders>
            <w:shd w:val="clear" w:color="auto" w:fill="8DB3E2" w:themeFill="text2" w:themeFillTint="66"/>
            <w:noWrap/>
            <w:vAlign w:val="center"/>
            <w:hideMark/>
          </w:tcPr>
          <w:p w14:paraId="72B58C4C" w14:textId="77777777"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42.637.440,</w:t>
            </w:r>
            <w:r w:rsidRPr="002B5C72">
              <w:rPr>
                <w:rFonts w:asciiTheme="minorHAnsi" w:hAnsiTheme="minorHAnsi"/>
                <w:b/>
                <w:bCs/>
                <w:sz w:val="18"/>
                <w:szCs w:val="18"/>
                <w:lang w:val="sr-Cyrl-RS"/>
              </w:rPr>
              <w:t>30</w:t>
            </w:r>
          </w:p>
        </w:tc>
        <w:tc>
          <w:tcPr>
            <w:tcW w:w="1418" w:type="dxa"/>
            <w:tcBorders>
              <w:top w:val="nil"/>
              <w:left w:val="nil"/>
              <w:bottom w:val="single" w:sz="4" w:space="0" w:color="auto"/>
              <w:right w:val="single" w:sz="4" w:space="0" w:color="auto"/>
            </w:tcBorders>
            <w:shd w:val="clear" w:color="auto" w:fill="8DB3E2" w:themeFill="text2" w:themeFillTint="66"/>
            <w:noWrap/>
            <w:vAlign w:val="center"/>
            <w:hideMark/>
          </w:tcPr>
          <w:p w14:paraId="39D426C9"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100,00%</w:t>
            </w:r>
          </w:p>
        </w:tc>
      </w:tr>
    </w:tbl>
    <w:p w14:paraId="3CEBEF93"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 </w:t>
      </w:r>
    </w:p>
    <w:p w14:paraId="4252C0D4"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Од почетка Гарантног програма у септембру 2020. године до краја јануара 2023. године, који је био последњи могући мјесец за укључење кредита у портфељ, у оквиру Програма је пласирано 416 кредита укупног износа 60.910.629,71 КМ, гдје припадајуће гаранције износе 42.637.440,80 КМ. Од укупно пласираних кредита и гаранција за цијели период реализације </w:t>
      </w:r>
      <w:r w:rsidRPr="001C27A1">
        <w:rPr>
          <w:rFonts w:asciiTheme="minorHAnsi" w:eastAsiaTheme="minorHAnsi" w:hAnsiTheme="minorHAnsi"/>
          <w:color w:val="auto"/>
          <w:sz w:val="20"/>
          <w:szCs w:val="20"/>
          <w:lang w:val="sr-Cyrl-BA" w:eastAsia="en-US"/>
        </w:rPr>
        <w:t xml:space="preserve">Гарантног програма </w:t>
      </w:r>
      <w:r w:rsidRPr="001C27A1">
        <w:rPr>
          <w:rFonts w:asciiTheme="minorHAnsi" w:eastAsiaTheme="minorHAnsi" w:hAnsiTheme="minorHAnsi"/>
          <w:color w:val="auto"/>
          <w:sz w:val="20"/>
          <w:szCs w:val="20"/>
          <w:lang w:val="sr-Latn-BA"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Cyrl-RS" w:eastAsia="en-US"/>
        </w:rPr>
        <w:t xml:space="preserve"> највише их је пласирано у 2021. години (53,45%).</w:t>
      </w:r>
    </w:p>
    <w:p w14:paraId="7BBC6A77" w14:textId="77777777" w:rsidR="00545FA4" w:rsidRPr="001C27A1" w:rsidRDefault="00545FA4" w:rsidP="00545FA4">
      <w:pPr>
        <w:spacing w:line="276" w:lineRule="auto"/>
        <w:jc w:val="center"/>
        <w:rPr>
          <w:rFonts w:asciiTheme="minorHAnsi" w:eastAsiaTheme="minorHAnsi" w:hAnsiTheme="minorHAnsi"/>
          <w:color w:val="auto"/>
          <w:sz w:val="20"/>
          <w:szCs w:val="20"/>
          <w:lang w:val="sr-Cyrl-RS" w:eastAsia="en-US"/>
        </w:rPr>
      </w:pPr>
      <w:r w:rsidRPr="001C27A1">
        <w:rPr>
          <w:rFonts w:asciiTheme="minorHAnsi" w:eastAsiaTheme="minorHAnsi" w:hAnsiTheme="minorHAnsi"/>
          <w:b/>
          <w:color w:val="auto"/>
          <w:sz w:val="20"/>
          <w:szCs w:val="20"/>
          <w:lang w:val="sr-Cyrl-RS" w:eastAsia="en-US"/>
        </w:rPr>
        <w:br/>
        <w:t xml:space="preserve">Преглед реализованих кредита </w:t>
      </w:r>
      <w:r w:rsidRPr="001C27A1">
        <w:rPr>
          <w:rFonts w:asciiTheme="minorHAnsi" w:eastAsiaTheme="minorHAnsi" w:hAnsiTheme="minorHAnsi"/>
          <w:b/>
          <w:color w:val="auto"/>
          <w:sz w:val="20"/>
          <w:szCs w:val="20"/>
          <w:lang w:val="sr-Cyrl-BA" w:eastAsia="en-US"/>
        </w:rPr>
        <w:t xml:space="preserve">из Програма </w:t>
      </w:r>
      <w:r w:rsidRPr="001C27A1">
        <w:rPr>
          <w:rFonts w:asciiTheme="minorHAnsi" w:eastAsiaTheme="minorHAnsi" w:hAnsiTheme="minorHAnsi"/>
          <w:b/>
          <w:color w:val="auto"/>
          <w:sz w:val="20"/>
          <w:szCs w:val="20"/>
          <w:lang w:val="sr-Latn-BA" w:eastAsia="en-US"/>
        </w:rPr>
        <w:t>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по финансијским посредницима у периоду 2020. - 2023. година</w:t>
      </w:r>
    </w:p>
    <w:p w14:paraId="064D5530"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t xml:space="preserve">                </w:t>
      </w:r>
      <w:r w:rsidR="00A944C8">
        <w:rPr>
          <w:rFonts w:asciiTheme="minorHAnsi" w:eastAsiaTheme="minorHAnsi" w:hAnsiTheme="minorHAnsi"/>
          <w:b/>
          <w:color w:val="auto"/>
          <w:sz w:val="20"/>
          <w:szCs w:val="20"/>
          <w:lang w:val="sr-Cyrl-RS" w:eastAsia="en-US"/>
        </w:rPr>
        <w:t>Табела 19</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039"/>
        <w:gridCol w:w="1551"/>
        <w:gridCol w:w="1560"/>
        <w:gridCol w:w="1275"/>
      </w:tblGrid>
      <w:tr w:rsidR="00545FA4" w:rsidRPr="001C27A1" w14:paraId="5D0D805B" w14:textId="77777777" w:rsidTr="002B5C72">
        <w:trPr>
          <w:trHeight w:val="644"/>
        </w:trPr>
        <w:tc>
          <w:tcPr>
            <w:tcW w:w="3364" w:type="dxa"/>
            <w:shd w:val="clear" w:color="auto" w:fill="8DB3E2" w:themeFill="text2" w:themeFillTint="66"/>
            <w:noWrap/>
            <w:vAlign w:val="center"/>
            <w:hideMark/>
          </w:tcPr>
          <w:p w14:paraId="5FC9D2F3"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lang w:val="sr-Cyrl-BA"/>
              </w:rPr>
              <w:t>Финансијски посредник</w:t>
            </w:r>
          </w:p>
        </w:tc>
        <w:tc>
          <w:tcPr>
            <w:tcW w:w="1039" w:type="dxa"/>
            <w:shd w:val="clear" w:color="auto" w:fill="8DB3E2" w:themeFill="text2" w:themeFillTint="66"/>
            <w:vAlign w:val="center"/>
          </w:tcPr>
          <w:p w14:paraId="5CAE9D2D" w14:textId="77777777" w:rsidR="00545FA4" w:rsidRPr="002B5C72" w:rsidRDefault="00545FA4" w:rsidP="00545FA4">
            <w:pPr>
              <w:jc w:val="center"/>
              <w:rPr>
                <w:rFonts w:asciiTheme="minorHAnsi" w:hAnsiTheme="minorHAnsi"/>
                <w:b/>
                <w:bCs/>
                <w:sz w:val="18"/>
                <w:szCs w:val="18"/>
                <w:lang w:val="sr-Cyrl-RS"/>
              </w:rPr>
            </w:pPr>
            <w:r w:rsidRPr="002B5C72">
              <w:rPr>
                <w:rFonts w:asciiTheme="minorHAnsi" w:hAnsiTheme="minorHAnsi"/>
                <w:b/>
                <w:bCs/>
                <w:sz w:val="18"/>
                <w:szCs w:val="18"/>
                <w:lang w:val="sr-Cyrl-RS"/>
              </w:rPr>
              <w:t>Број гаранција</w:t>
            </w:r>
          </w:p>
        </w:tc>
        <w:tc>
          <w:tcPr>
            <w:tcW w:w="1551" w:type="dxa"/>
            <w:shd w:val="clear" w:color="auto" w:fill="8DB3E2" w:themeFill="text2" w:themeFillTint="66"/>
            <w:noWrap/>
            <w:vAlign w:val="center"/>
            <w:hideMark/>
          </w:tcPr>
          <w:p w14:paraId="31D0AC94"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кредита</w:t>
            </w:r>
          </w:p>
        </w:tc>
        <w:tc>
          <w:tcPr>
            <w:tcW w:w="1560" w:type="dxa"/>
            <w:shd w:val="clear" w:color="auto" w:fill="8DB3E2" w:themeFill="text2" w:themeFillTint="66"/>
            <w:noWrap/>
            <w:vAlign w:val="center"/>
            <w:hideMark/>
          </w:tcPr>
          <w:p w14:paraId="2D796C74"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гаранције</w:t>
            </w:r>
          </w:p>
        </w:tc>
        <w:tc>
          <w:tcPr>
            <w:tcW w:w="1275" w:type="dxa"/>
            <w:shd w:val="clear" w:color="auto" w:fill="8DB3E2" w:themeFill="text2" w:themeFillTint="66"/>
            <w:vAlign w:val="center"/>
            <w:hideMark/>
          </w:tcPr>
          <w:p w14:paraId="26426AF2"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Учешће у укупн</w:t>
            </w:r>
            <w:r w:rsidRPr="002B5C72">
              <w:rPr>
                <w:rFonts w:asciiTheme="minorHAnsi" w:hAnsiTheme="minorHAnsi"/>
                <w:b/>
                <w:bCs/>
                <w:sz w:val="18"/>
                <w:szCs w:val="18"/>
                <w:lang w:val="sr-Cyrl-BA"/>
              </w:rPr>
              <w:t>им</w:t>
            </w:r>
            <w:r w:rsidRPr="002B5C72">
              <w:rPr>
                <w:rFonts w:asciiTheme="minorHAnsi" w:hAnsiTheme="minorHAnsi"/>
                <w:b/>
                <w:bCs/>
                <w:sz w:val="18"/>
                <w:szCs w:val="18"/>
              </w:rPr>
              <w:t xml:space="preserve"> </w:t>
            </w:r>
            <w:r w:rsidRPr="002B5C72">
              <w:rPr>
                <w:rFonts w:asciiTheme="minorHAnsi" w:hAnsiTheme="minorHAnsi"/>
                <w:b/>
                <w:bCs/>
                <w:sz w:val="18"/>
                <w:szCs w:val="18"/>
                <w:lang w:val="sr-Cyrl-BA"/>
              </w:rPr>
              <w:t>кредитима</w:t>
            </w:r>
          </w:p>
        </w:tc>
      </w:tr>
      <w:tr w:rsidR="00545FA4" w:rsidRPr="001C27A1" w14:paraId="1A895B45" w14:textId="77777777" w:rsidTr="00545FA4">
        <w:trPr>
          <w:trHeight w:val="315"/>
        </w:trPr>
        <w:tc>
          <w:tcPr>
            <w:tcW w:w="3364" w:type="dxa"/>
            <w:shd w:val="clear" w:color="auto" w:fill="auto"/>
            <w:noWrap/>
            <w:vAlign w:val="center"/>
            <w:hideMark/>
          </w:tcPr>
          <w:p w14:paraId="6A0216F8"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Procredit bank д.д. Сарајево</w:t>
            </w:r>
          </w:p>
        </w:tc>
        <w:tc>
          <w:tcPr>
            <w:tcW w:w="1039" w:type="dxa"/>
            <w:vAlign w:val="center"/>
          </w:tcPr>
          <w:p w14:paraId="6D382838"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188</w:t>
            </w:r>
          </w:p>
        </w:tc>
        <w:tc>
          <w:tcPr>
            <w:tcW w:w="1551" w:type="dxa"/>
            <w:shd w:val="clear" w:color="auto" w:fill="auto"/>
            <w:noWrap/>
            <w:vAlign w:val="center"/>
            <w:hideMark/>
          </w:tcPr>
          <w:p w14:paraId="1E6BDD6A"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34.171.000,00</w:t>
            </w:r>
          </w:p>
        </w:tc>
        <w:tc>
          <w:tcPr>
            <w:tcW w:w="1560" w:type="dxa"/>
            <w:shd w:val="clear" w:color="auto" w:fill="auto"/>
            <w:noWrap/>
            <w:vAlign w:val="center"/>
            <w:hideMark/>
          </w:tcPr>
          <w:p w14:paraId="2B19E2BB"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23.919.700,00</w:t>
            </w:r>
          </w:p>
        </w:tc>
        <w:tc>
          <w:tcPr>
            <w:tcW w:w="1275" w:type="dxa"/>
            <w:shd w:val="clear" w:color="auto" w:fill="auto"/>
            <w:noWrap/>
            <w:vAlign w:val="center"/>
            <w:hideMark/>
          </w:tcPr>
          <w:p w14:paraId="1B1BF4C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56,10%</w:t>
            </w:r>
          </w:p>
        </w:tc>
      </w:tr>
      <w:tr w:rsidR="00545FA4" w:rsidRPr="001C27A1" w14:paraId="2CA7FB19" w14:textId="77777777" w:rsidTr="00545FA4">
        <w:trPr>
          <w:trHeight w:val="315"/>
        </w:trPr>
        <w:tc>
          <w:tcPr>
            <w:tcW w:w="3364" w:type="dxa"/>
            <w:shd w:val="clear" w:color="auto" w:fill="auto"/>
            <w:noWrap/>
            <w:vAlign w:val="center"/>
            <w:hideMark/>
          </w:tcPr>
          <w:p w14:paraId="227F20AA"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Мф банка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14:paraId="0214CEE3"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85</w:t>
            </w:r>
          </w:p>
        </w:tc>
        <w:tc>
          <w:tcPr>
            <w:tcW w:w="1551" w:type="dxa"/>
            <w:shd w:val="clear" w:color="auto" w:fill="auto"/>
            <w:noWrap/>
            <w:vAlign w:val="center"/>
            <w:hideMark/>
          </w:tcPr>
          <w:p w14:paraId="7351859F"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12.632.700,00</w:t>
            </w:r>
          </w:p>
        </w:tc>
        <w:tc>
          <w:tcPr>
            <w:tcW w:w="1560" w:type="dxa"/>
            <w:shd w:val="clear" w:color="auto" w:fill="auto"/>
            <w:noWrap/>
            <w:vAlign w:val="center"/>
            <w:hideMark/>
          </w:tcPr>
          <w:p w14:paraId="19801695"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8.842.890,00</w:t>
            </w:r>
          </w:p>
        </w:tc>
        <w:tc>
          <w:tcPr>
            <w:tcW w:w="1275" w:type="dxa"/>
            <w:shd w:val="clear" w:color="auto" w:fill="auto"/>
            <w:noWrap/>
            <w:vAlign w:val="center"/>
            <w:hideMark/>
          </w:tcPr>
          <w:p w14:paraId="61EF193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20,74%</w:t>
            </w:r>
          </w:p>
        </w:tc>
      </w:tr>
      <w:tr w:rsidR="00545FA4" w:rsidRPr="001C27A1" w14:paraId="17D171FA" w14:textId="77777777" w:rsidTr="00545FA4">
        <w:trPr>
          <w:trHeight w:val="315"/>
        </w:trPr>
        <w:tc>
          <w:tcPr>
            <w:tcW w:w="3364" w:type="dxa"/>
            <w:shd w:val="clear" w:color="auto" w:fill="auto"/>
            <w:noWrap/>
            <w:vAlign w:val="center"/>
            <w:hideMark/>
          </w:tcPr>
          <w:p w14:paraId="4358C1ED"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Unicredit bank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14:paraId="3F1484C1"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52</w:t>
            </w:r>
          </w:p>
        </w:tc>
        <w:tc>
          <w:tcPr>
            <w:tcW w:w="1551" w:type="dxa"/>
            <w:shd w:val="clear" w:color="auto" w:fill="auto"/>
            <w:noWrap/>
            <w:vAlign w:val="center"/>
            <w:hideMark/>
          </w:tcPr>
          <w:p w14:paraId="1135A9E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6.145.300,00</w:t>
            </w:r>
          </w:p>
        </w:tc>
        <w:tc>
          <w:tcPr>
            <w:tcW w:w="1560" w:type="dxa"/>
            <w:shd w:val="clear" w:color="auto" w:fill="auto"/>
            <w:noWrap/>
            <w:vAlign w:val="center"/>
            <w:hideMark/>
          </w:tcPr>
          <w:p w14:paraId="52C472FD"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4.301.710,00</w:t>
            </w:r>
          </w:p>
        </w:tc>
        <w:tc>
          <w:tcPr>
            <w:tcW w:w="1275" w:type="dxa"/>
            <w:shd w:val="clear" w:color="auto" w:fill="auto"/>
            <w:noWrap/>
            <w:vAlign w:val="center"/>
            <w:hideMark/>
          </w:tcPr>
          <w:p w14:paraId="557C2CD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10,09%</w:t>
            </w:r>
          </w:p>
        </w:tc>
      </w:tr>
      <w:tr w:rsidR="00545FA4" w:rsidRPr="001C27A1" w14:paraId="4A821314" w14:textId="77777777" w:rsidTr="00545FA4">
        <w:trPr>
          <w:trHeight w:val="315"/>
        </w:trPr>
        <w:tc>
          <w:tcPr>
            <w:tcW w:w="3364" w:type="dxa"/>
            <w:shd w:val="clear" w:color="auto" w:fill="auto"/>
            <w:noWrap/>
            <w:vAlign w:val="center"/>
            <w:hideMark/>
          </w:tcPr>
          <w:p w14:paraId="590E41EF"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Нова банка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14:paraId="13045DEC"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38</w:t>
            </w:r>
          </w:p>
        </w:tc>
        <w:tc>
          <w:tcPr>
            <w:tcW w:w="1551" w:type="dxa"/>
            <w:shd w:val="clear" w:color="auto" w:fill="auto"/>
            <w:noWrap/>
            <w:vAlign w:val="center"/>
            <w:hideMark/>
          </w:tcPr>
          <w:p w14:paraId="2993D006"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4.398.000,00</w:t>
            </w:r>
          </w:p>
        </w:tc>
        <w:tc>
          <w:tcPr>
            <w:tcW w:w="1560" w:type="dxa"/>
            <w:shd w:val="clear" w:color="auto" w:fill="auto"/>
            <w:noWrap/>
            <w:vAlign w:val="center"/>
            <w:hideMark/>
          </w:tcPr>
          <w:p w14:paraId="26A02CE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3.078.600,00</w:t>
            </w:r>
          </w:p>
        </w:tc>
        <w:tc>
          <w:tcPr>
            <w:tcW w:w="1275" w:type="dxa"/>
            <w:shd w:val="clear" w:color="auto" w:fill="auto"/>
            <w:noWrap/>
            <w:vAlign w:val="center"/>
            <w:hideMark/>
          </w:tcPr>
          <w:p w14:paraId="69E67E24"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7,22%</w:t>
            </w:r>
          </w:p>
        </w:tc>
      </w:tr>
      <w:tr w:rsidR="00545FA4" w:rsidRPr="001C27A1" w14:paraId="3BCC5AAF" w14:textId="77777777" w:rsidTr="00545FA4">
        <w:trPr>
          <w:trHeight w:val="315"/>
        </w:trPr>
        <w:tc>
          <w:tcPr>
            <w:tcW w:w="3364" w:type="dxa"/>
            <w:shd w:val="clear" w:color="auto" w:fill="auto"/>
            <w:noWrap/>
            <w:vAlign w:val="center"/>
            <w:hideMark/>
          </w:tcPr>
          <w:p w14:paraId="7B22C499"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Raiffeisen bank д.д. </w:t>
            </w:r>
            <w:r w:rsidRPr="002B5C72">
              <w:rPr>
                <w:rFonts w:asciiTheme="minorHAnsi" w:hAnsiTheme="minorHAnsi"/>
                <w:sz w:val="18"/>
                <w:szCs w:val="18"/>
                <w:lang w:val="sr-Cyrl-BA"/>
              </w:rPr>
              <w:t>Сарајево</w:t>
            </w:r>
          </w:p>
        </w:tc>
        <w:tc>
          <w:tcPr>
            <w:tcW w:w="1039" w:type="dxa"/>
            <w:vAlign w:val="center"/>
          </w:tcPr>
          <w:p w14:paraId="7FDD15B8"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14:paraId="5F9722A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1.560.000,00</w:t>
            </w:r>
          </w:p>
        </w:tc>
        <w:tc>
          <w:tcPr>
            <w:tcW w:w="1560" w:type="dxa"/>
            <w:shd w:val="clear" w:color="auto" w:fill="auto"/>
            <w:noWrap/>
            <w:vAlign w:val="center"/>
            <w:hideMark/>
          </w:tcPr>
          <w:p w14:paraId="4419A01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1.092.000,00</w:t>
            </w:r>
          </w:p>
        </w:tc>
        <w:tc>
          <w:tcPr>
            <w:tcW w:w="1275" w:type="dxa"/>
            <w:shd w:val="clear" w:color="auto" w:fill="auto"/>
            <w:noWrap/>
            <w:vAlign w:val="center"/>
            <w:hideMark/>
          </w:tcPr>
          <w:p w14:paraId="26202F8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2,56%</w:t>
            </w:r>
          </w:p>
        </w:tc>
      </w:tr>
      <w:tr w:rsidR="00545FA4" w:rsidRPr="001C27A1" w14:paraId="2C89760A" w14:textId="77777777" w:rsidTr="00545FA4">
        <w:trPr>
          <w:trHeight w:val="315"/>
        </w:trPr>
        <w:tc>
          <w:tcPr>
            <w:tcW w:w="3364" w:type="dxa"/>
            <w:shd w:val="clear" w:color="auto" w:fill="auto"/>
            <w:noWrap/>
            <w:vAlign w:val="center"/>
            <w:hideMark/>
          </w:tcPr>
          <w:p w14:paraId="29BFC318"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Atos bank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14:paraId="3CAC2930"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24</w:t>
            </w:r>
          </w:p>
        </w:tc>
        <w:tc>
          <w:tcPr>
            <w:tcW w:w="1551" w:type="dxa"/>
            <w:shd w:val="clear" w:color="auto" w:fill="auto"/>
            <w:noWrap/>
            <w:vAlign w:val="center"/>
            <w:hideMark/>
          </w:tcPr>
          <w:p w14:paraId="33B4FC7E"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1.060.628,00</w:t>
            </w:r>
          </w:p>
        </w:tc>
        <w:tc>
          <w:tcPr>
            <w:tcW w:w="1560" w:type="dxa"/>
            <w:shd w:val="clear" w:color="auto" w:fill="auto"/>
            <w:noWrap/>
            <w:vAlign w:val="center"/>
            <w:hideMark/>
          </w:tcPr>
          <w:p w14:paraId="41473063"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742.439,60</w:t>
            </w:r>
          </w:p>
        </w:tc>
        <w:tc>
          <w:tcPr>
            <w:tcW w:w="1275" w:type="dxa"/>
            <w:shd w:val="clear" w:color="auto" w:fill="auto"/>
            <w:noWrap/>
            <w:vAlign w:val="center"/>
            <w:hideMark/>
          </w:tcPr>
          <w:p w14:paraId="63180BC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1,74%</w:t>
            </w:r>
          </w:p>
        </w:tc>
      </w:tr>
      <w:tr w:rsidR="00545FA4" w:rsidRPr="001C27A1" w14:paraId="086217D8" w14:textId="77777777" w:rsidTr="00545FA4">
        <w:trPr>
          <w:trHeight w:val="315"/>
        </w:trPr>
        <w:tc>
          <w:tcPr>
            <w:tcW w:w="3364" w:type="dxa"/>
            <w:shd w:val="clear" w:color="auto" w:fill="auto"/>
            <w:noWrap/>
            <w:vAlign w:val="center"/>
            <w:hideMark/>
          </w:tcPr>
          <w:p w14:paraId="30822ACF"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 xml:space="preserve">Банка поштанска штедионица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14:paraId="0CB1247D"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14:paraId="02D1885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588.000,00</w:t>
            </w:r>
          </w:p>
        </w:tc>
        <w:tc>
          <w:tcPr>
            <w:tcW w:w="1560" w:type="dxa"/>
            <w:shd w:val="clear" w:color="auto" w:fill="auto"/>
            <w:noWrap/>
            <w:vAlign w:val="center"/>
            <w:hideMark/>
          </w:tcPr>
          <w:p w14:paraId="3B68E6B2"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411.600,00</w:t>
            </w:r>
          </w:p>
        </w:tc>
        <w:tc>
          <w:tcPr>
            <w:tcW w:w="1275" w:type="dxa"/>
            <w:shd w:val="clear" w:color="auto" w:fill="auto"/>
            <w:noWrap/>
            <w:vAlign w:val="center"/>
            <w:hideMark/>
          </w:tcPr>
          <w:p w14:paraId="42671A2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0,97%</w:t>
            </w:r>
          </w:p>
        </w:tc>
      </w:tr>
      <w:tr w:rsidR="00545FA4" w:rsidRPr="001C27A1" w14:paraId="1CB2C3A4" w14:textId="77777777" w:rsidTr="00545FA4">
        <w:trPr>
          <w:trHeight w:val="315"/>
        </w:trPr>
        <w:tc>
          <w:tcPr>
            <w:tcW w:w="3364" w:type="dxa"/>
            <w:shd w:val="clear" w:color="auto" w:fill="auto"/>
            <w:noWrap/>
            <w:vAlign w:val="center"/>
            <w:hideMark/>
          </w:tcPr>
          <w:p w14:paraId="36396142" w14:textId="77777777" w:rsidR="00545FA4" w:rsidRPr="002B5C72" w:rsidRDefault="002B5C72" w:rsidP="00545FA4">
            <w:pPr>
              <w:jc w:val="left"/>
              <w:rPr>
                <w:rFonts w:asciiTheme="minorHAnsi" w:hAnsiTheme="minorHAnsi"/>
                <w:caps/>
                <w:sz w:val="18"/>
                <w:szCs w:val="18"/>
              </w:rPr>
            </w:pPr>
            <w:r>
              <w:rPr>
                <w:rFonts w:asciiTheme="minorHAnsi" w:hAnsiTheme="minorHAnsi"/>
                <w:sz w:val="18"/>
                <w:szCs w:val="18"/>
              </w:rPr>
              <w:t>Н</w:t>
            </w:r>
            <w:r>
              <w:rPr>
                <w:rFonts w:asciiTheme="minorHAnsi" w:hAnsiTheme="minorHAnsi"/>
                <w:sz w:val="18"/>
                <w:szCs w:val="18"/>
                <w:lang w:val="sr-Cyrl-RS"/>
              </w:rPr>
              <w:t>ЛБ</w:t>
            </w:r>
            <w:r w:rsidR="00545FA4" w:rsidRPr="002B5C72">
              <w:rPr>
                <w:rFonts w:asciiTheme="minorHAnsi" w:hAnsiTheme="minorHAnsi"/>
                <w:sz w:val="18"/>
                <w:szCs w:val="18"/>
              </w:rPr>
              <w:t xml:space="preserve"> банка а.д. Бања </w:t>
            </w:r>
            <w:r w:rsidR="00545FA4" w:rsidRPr="002B5C72">
              <w:rPr>
                <w:rFonts w:asciiTheme="minorHAnsi" w:hAnsiTheme="minorHAnsi"/>
                <w:sz w:val="18"/>
                <w:szCs w:val="18"/>
                <w:lang w:val="sr-Cyrl-RS"/>
              </w:rPr>
              <w:t>Л</w:t>
            </w:r>
            <w:r w:rsidR="00545FA4" w:rsidRPr="002B5C72">
              <w:rPr>
                <w:rFonts w:asciiTheme="minorHAnsi" w:hAnsiTheme="minorHAnsi"/>
                <w:sz w:val="18"/>
                <w:szCs w:val="18"/>
              </w:rPr>
              <w:t>ука</w:t>
            </w:r>
          </w:p>
        </w:tc>
        <w:tc>
          <w:tcPr>
            <w:tcW w:w="1039" w:type="dxa"/>
            <w:vAlign w:val="center"/>
          </w:tcPr>
          <w:p w14:paraId="5254E5C3"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5</w:t>
            </w:r>
          </w:p>
        </w:tc>
        <w:tc>
          <w:tcPr>
            <w:tcW w:w="1551" w:type="dxa"/>
            <w:shd w:val="clear" w:color="auto" w:fill="auto"/>
            <w:noWrap/>
            <w:vAlign w:val="center"/>
            <w:hideMark/>
          </w:tcPr>
          <w:p w14:paraId="1DFF39F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340.000,00</w:t>
            </w:r>
          </w:p>
        </w:tc>
        <w:tc>
          <w:tcPr>
            <w:tcW w:w="1560" w:type="dxa"/>
            <w:shd w:val="clear" w:color="auto" w:fill="auto"/>
            <w:noWrap/>
            <w:vAlign w:val="center"/>
            <w:hideMark/>
          </w:tcPr>
          <w:p w14:paraId="635E8CB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238.000,00</w:t>
            </w:r>
          </w:p>
        </w:tc>
        <w:tc>
          <w:tcPr>
            <w:tcW w:w="1275" w:type="dxa"/>
            <w:shd w:val="clear" w:color="auto" w:fill="auto"/>
            <w:noWrap/>
            <w:vAlign w:val="center"/>
            <w:hideMark/>
          </w:tcPr>
          <w:p w14:paraId="3D4860B5"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0,56%</w:t>
            </w:r>
          </w:p>
        </w:tc>
      </w:tr>
      <w:tr w:rsidR="00545FA4" w:rsidRPr="001C27A1" w14:paraId="1AC05322" w14:textId="77777777" w:rsidTr="00545FA4">
        <w:trPr>
          <w:trHeight w:val="315"/>
        </w:trPr>
        <w:tc>
          <w:tcPr>
            <w:tcW w:w="3364" w:type="dxa"/>
            <w:shd w:val="clear" w:color="auto" w:fill="auto"/>
            <w:noWrap/>
            <w:vAlign w:val="center"/>
            <w:hideMark/>
          </w:tcPr>
          <w:p w14:paraId="110833C9" w14:textId="77777777" w:rsidR="00545FA4" w:rsidRPr="002B5C72" w:rsidRDefault="002B5C72" w:rsidP="002B5C72">
            <w:pPr>
              <w:jc w:val="left"/>
              <w:rPr>
                <w:rFonts w:asciiTheme="minorHAnsi" w:hAnsiTheme="minorHAnsi"/>
                <w:caps/>
                <w:sz w:val="18"/>
                <w:szCs w:val="18"/>
              </w:rPr>
            </w:pPr>
            <w:r>
              <w:rPr>
                <w:rFonts w:asciiTheme="minorHAnsi" w:hAnsiTheme="minorHAnsi"/>
                <w:sz w:val="18"/>
                <w:szCs w:val="18"/>
              </w:rPr>
              <w:t>М</w:t>
            </w:r>
            <w:r>
              <w:rPr>
                <w:rFonts w:asciiTheme="minorHAnsi" w:hAnsiTheme="minorHAnsi"/>
                <w:sz w:val="18"/>
                <w:szCs w:val="18"/>
                <w:lang w:val="sr-Cyrl-RS"/>
              </w:rPr>
              <w:t>КД</w:t>
            </w:r>
            <w:r w:rsidR="00545FA4" w:rsidRPr="002B5C72">
              <w:rPr>
                <w:rFonts w:asciiTheme="minorHAnsi" w:hAnsiTheme="minorHAnsi"/>
                <w:sz w:val="18"/>
                <w:szCs w:val="18"/>
              </w:rPr>
              <w:t xml:space="preserve"> </w:t>
            </w:r>
            <w:r>
              <w:rPr>
                <w:rFonts w:asciiTheme="minorHAnsi" w:hAnsiTheme="minorHAnsi"/>
                <w:sz w:val="18"/>
                <w:szCs w:val="18"/>
                <w:lang w:val="sr-Cyrl-RS"/>
              </w:rPr>
              <w:t>М</w:t>
            </w:r>
            <w:r w:rsidR="00545FA4" w:rsidRPr="002B5C72">
              <w:rPr>
                <w:rFonts w:asciiTheme="minorHAnsi" w:hAnsiTheme="minorHAnsi"/>
                <w:sz w:val="18"/>
                <w:szCs w:val="18"/>
              </w:rPr>
              <w:t xml:space="preserve">икрофин д.о.о. Бања </w:t>
            </w:r>
            <w:r w:rsidR="00545FA4" w:rsidRPr="002B5C72">
              <w:rPr>
                <w:rFonts w:asciiTheme="minorHAnsi" w:hAnsiTheme="minorHAnsi"/>
                <w:sz w:val="18"/>
                <w:szCs w:val="18"/>
                <w:lang w:val="sr-Cyrl-RS"/>
              </w:rPr>
              <w:t>Л</w:t>
            </w:r>
            <w:r w:rsidR="00545FA4" w:rsidRPr="002B5C72">
              <w:rPr>
                <w:rFonts w:asciiTheme="minorHAnsi" w:hAnsiTheme="minorHAnsi"/>
                <w:sz w:val="18"/>
                <w:szCs w:val="18"/>
              </w:rPr>
              <w:t>ука</w:t>
            </w:r>
          </w:p>
        </w:tc>
        <w:tc>
          <w:tcPr>
            <w:tcW w:w="1039" w:type="dxa"/>
            <w:vAlign w:val="center"/>
          </w:tcPr>
          <w:p w14:paraId="02B76B42"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lang w:val="sr-Cyrl-RS"/>
              </w:rPr>
              <w:t>2</w:t>
            </w:r>
          </w:p>
        </w:tc>
        <w:tc>
          <w:tcPr>
            <w:tcW w:w="1551" w:type="dxa"/>
            <w:shd w:val="clear" w:color="auto" w:fill="auto"/>
            <w:noWrap/>
            <w:vAlign w:val="center"/>
            <w:hideMark/>
          </w:tcPr>
          <w:p w14:paraId="519A7028"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15.001,00</w:t>
            </w:r>
          </w:p>
        </w:tc>
        <w:tc>
          <w:tcPr>
            <w:tcW w:w="1560" w:type="dxa"/>
            <w:shd w:val="clear" w:color="auto" w:fill="auto"/>
            <w:noWrap/>
            <w:vAlign w:val="center"/>
            <w:hideMark/>
          </w:tcPr>
          <w:p w14:paraId="2CCD9CAE"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10.500,70</w:t>
            </w:r>
          </w:p>
        </w:tc>
        <w:tc>
          <w:tcPr>
            <w:tcW w:w="1275" w:type="dxa"/>
            <w:shd w:val="clear" w:color="auto" w:fill="auto"/>
            <w:noWrap/>
            <w:vAlign w:val="center"/>
            <w:hideMark/>
          </w:tcPr>
          <w:p w14:paraId="67008A23"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0,02%</w:t>
            </w:r>
          </w:p>
        </w:tc>
      </w:tr>
      <w:tr w:rsidR="00545FA4" w:rsidRPr="001C27A1" w14:paraId="41FACB12" w14:textId="77777777" w:rsidTr="002B5C72">
        <w:trPr>
          <w:trHeight w:val="315"/>
        </w:trPr>
        <w:tc>
          <w:tcPr>
            <w:tcW w:w="3364" w:type="dxa"/>
            <w:shd w:val="clear" w:color="auto" w:fill="8DB3E2" w:themeFill="text2" w:themeFillTint="66"/>
            <w:noWrap/>
            <w:vAlign w:val="center"/>
            <w:hideMark/>
          </w:tcPr>
          <w:p w14:paraId="5F4200D6" w14:textId="77777777" w:rsidR="00545FA4" w:rsidRPr="002B5C72" w:rsidRDefault="00536E78" w:rsidP="00545FA4">
            <w:pPr>
              <w:jc w:val="left"/>
              <w:rPr>
                <w:rFonts w:asciiTheme="minorHAnsi" w:hAnsiTheme="minorHAnsi"/>
                <w:b/>
                <w:bCs/>
                <w:sz w:val="18"/>
                <w:szCs w:val="18"/>
              </w:rPr>
            </w:pPr>
            <w:r>
              <w:rPr>
                <w:rFonts w:asciiTheme="minorHAnsi" w:hAnsiTheme="minorHAnsi"/>
                <w:b/>
                <w:bCs/>
                <w:sz w:val="18"/>
                <w:szCs w:val="18"/>
                <w:lang w:val="sr-Cyrl-BA"/>
              </w:rPr>
              <w:t>УКУПНО</w:t>
            </w:r>
          </w:p>
        </w:tc>
        <w:tc>
          <w:tcPr>
            <w:tcW w:w="1039" w:type="dxa"/>
            <w:shd w:val="clear" w:color="auto" w:fill="8DB3E2" w:themeFill="text2" w:themeFillTint="66"/>
            <w:vAlign w:val="center"/>
          </w:tcPr>
          <w:p w14:paraId="02270882" w14:textId="77777777" w:rsidR="00545FA4" w:rsidRPr="002B5C72" w:rsidRDefault="00545FA4" w:rsidP="00545FA4">
            <w:pPr>
              <w:jc w:val="center"/>
              <w:rPr>
                <w:rFonts w:asciiTheme="minorHAnsi" w:hAnsiTheme="minorHAnsi"/>
                <w:b/>
                <w:bCs/>
                <w:sz w:val="18"/>
                <w:szCs w:val="18"/>
                <w:lang w:val="sr-Cyrl-RS"/>
              </w:rPr>
            </w:pPr>
            <w:r w:rsidRPr="002B5C72">
              <w:rPr>
                <w:rFonts w:asciiTheme="minorHAnsi" w:hAnsiTheme="minorHAnsi"/>
                <w:b/>
                <w:bCs/>
                <w:sz w:val="18"/>
                <w:szCs w:val="18"/>
                <w:lang w:val="sr-Cyrl-RS"/>
              </w:rPr>
              <w:t>416</w:t>
            </w:r>
          </w:p>
        </w:tc>
        <w:tc>
          <w:tcPr>
            <w:tcW w:w="1551" w:type="dxa"/>
            <w:shd w:val="clear" w:color="auto" w:fill="8DB3E2" w:themeFill="text2" w:themeFillTint="66"/>
            <w:noWrap/>
            <w:vAlign w:val="center"/>
            <w:hideMark/>
          </w:tcPr>
          <w:p w14:paraId="2E7E12E2"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60.910.629,00</w:t>
            </w:r>
          </w:p>
        </w:tc>
        <w:tc>
          <w:tcPr>
            <w:tcW w:w="1560" w:type="dxa"/>
            <w:shd w:val="clear" w:color="auto" w:fill="8DB3E2" w:themeFill="text2" w:themeFillTint="66"/>
            <w:noWrap/>
            <w:vAlign w:val="center"/>
            <w:hideMark/>
          </w:tcPr>
          <w:p w14:paraId="35A72FA9"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42.637.440,30</w:t>
            </w:r>
          </w:p>
        </w:tc>
        <w:tc>
          <w:tcPr>
            <w:tcW w:w="1275" w:type="dxa"/>
            <w:shd w:val="clear" w:color="auto" w:fill="8DB3E2" w:themeFill="text2" w:themeFillTint="66"/>
            <w:noWrap/>
            <w:vAlign w:val="center"/>
            <w:hideMark/>
          </w:tcPr>
          <w:p w14:paraId="69DC42C7"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100,00%</w:t>
            </w:r>
          </w:p>
        </w:tc>
      </w:tr>
    </w:tbl>
    <w:p w14:paraId="4D4D5844" w14:textId="77777777" w:rsidR="00545FA4" w:rsidRPr="001C27A1" w:rsidRDefault="00545FA4" w:rsidP="00545FA4">
      <w:pPr>
        <w:spacing w:line="276" w:lineRule="auto"/>
        <w:rPr>
          <w:rFonts w:asciiTheme="minorHAnsi" w:eastAsiaTheme="minorHAnsi" w:hAnsiTheme="minorHAnsi"/>
          <w:color w:val="auto"/>
          <w:sz w:val="20"/>
          <w:szCs w:val="20"/>
          <w:lang w:eastAsia="en-US"/>
        </w:rPr>
      </w:pPr>
    </w:p>
    <w:p w14:paraId="2B4003AB" w14:textId="77777777" w:rsidR="00545FA4" w:rsidRPr="001C27A1" w:rsidRDefault="00545FA4" w:rsidP="00545FA4">
      <w:pPr>
        <w:spacing w:line="276" w:lineRule="auto"/>
        <w:rPr>
          <w:rFonts w:asciiTheme="minorHAnsi" w:hAnsiTheme="minorHAnsi"/>
          <w:noProof/>
          <w:sz w:val="20"/>
          <w:szCs w:val="20"/>
          <w:lang w:val="sr-Cyrl-RS"/>
        </w:rPr>
      </w:pPr>
      <w:r w:rsidRPr="001C27A1">
        <w:rPr>
          <w:rFonts w:asciiTheme="minorHAnsi" w:hAnsiTheme="minorHAnsi"/>
          <w:noProof/>
          <w:sz w:val="20"/>
          <w:szCs w:val="20"/>
          <w:lang w:val="sr-Cyrl-RS"/>
        </w:rPr>
        <w:t xml:space="preserve">У укупно пласираним кредитима доминантно учешће има Procredit банка, која је од почетка Програма </w:t>
      </w:r>
      <w:r w:rsidRPr="001C27A1">
        <w:rPr>
          <w:rFonts w:asciiTheme="minorHAnsi" w:hAnsiTheme="minorHAnsi"/>
          <w:sz w:val="20"/>
          <w:szCs w:val="20"/>
          <w:lang w:val="sr-Cyrl-BA"/>
        </w:rPr>
        <w:t xml:space="preserve"> </w:t>
      </w:r>
      <w:r w:rsidRPr="001C27A1">
        <w:rPr>
          <w:rFonts w:asciiTheme="minorHAnsi" w:hAnsiTheme="minorHAnsi"/>
          <w:sz w:val="20"/>
          <w:szCs w:val="20"/>
          <w:lang w:val="sr-Latn-BA"/>
        </w:rPr>
        <w:t>COVID</w:t>
      </w:r>
      <w:r w:rsidRPr="001C27A1">
        <w:rPr>
          <w:rFonts w:asciiTheme="minorHAnsi" w:hAnsiTheme="minorHAnsi"/>
          <w:sz w:val="20"/>
          <w:szCs w:val="20"/>
          <w:lang w:val="sr-Cyrl-RS"/>
        </w:rPr>
        <w:t>-</w:t>
      </w:r>
      <w:r w:rsidRPr="001C27A1">
        <w:rPr>
          <w:rFonts w:asciiTheme="minorHAnsi" w:hAnsiTheme="minorHAnsi"/>
          <w:sz w:val="20"/>
          <w:szCs w:val="20"/>
          <w:lang w:val="sr-Latn-BA"/>
        </w:rPr>
        <w:t>19</w:t>
      </w:r>
      <w:r w:rsidRPr="001C27A1">
        <w:rPr>
          <w:rFonts w:asciiTheme="minorHAnsi" w:hAnsiTheme="minorHAnsi"/>
          <w:sz w:val="20"/>
          <w:szCs w:val="20"/>
        </w:rPr>
        <w:t xml:space="preserve"> </w:t>
      </w:r>
      <w:r w:rsidRPr="001C27A1">
        <w:rPr>
          <w:rFonts w:asciiTheme="minorHAnsi" w:hAnsiTheme="minorHAnsi"/>
          <w:noProof/>
          <w:sz w:val="20"/>
          <w:szCs w:val="20"/>
          <w:lang w:val="sr-Cyrl-RS"/>
        </w:rPr>
        <w:t>пласирала 1</w:t>
      </w:r>
      <w:r w:rsidRPr="001C27A1">
        <w:rPr>
          <w:rFonts w:asciiTheme="minorHAnsi" w:hAnsiTheme="minorHAnsi"/>
          <w:noProof/>
          <w:sz w:val="20"/>
          <w:szCs w:val="20"/>
          <w:lang w:val="sr-Cyrl-BA"/>
        </w:rPr>
        <w:t>88</w:t>
      </w:r>
      <w:r w:rsidRPr="001C27A1">
        <w:rPr>
          <w:rFonts w:asciiTheme="minorHAnsi" w:hAnsiTheme="minorHAnsi"/>
          <w:noProof/>
          <w:sz w:val="20"/>
          <w:szCs w:val="20"/>
          <w:lang w:val="sr-Cyrl-RS"/>
        </w:rPr>
        <w:t xml:space="preserve"> кредита у износу од </w:t>
      </w:r>
      <w:r w:rsidRPr="001C27A1">
        <w:rPr>
          <w:rFonts w:asciiTheme="minorHAnsi" w:hAnsiTheme="minorHAnsi"/>
          <w:noProof/>
          <w:sz w:val="20"/>
          <w:szCs w:val="20"/>
        </w:rPr>
        <w:t>3</w:t>
      </w:r>
      <w:r w:rsidRPr="001C27A1">
        <w:rPr>
          <w:rFonts w:asciiTheme="minorHAnsi" w:hAnsiTheme="minorHAnsi"/>
          <w:noProof/>
          <w:sz w:val="20"/>
          <w:szCs w:val="20"/>
          <w:lang w:val="sr-Cyrl-BA"/>
        </w:rPr>
        <w:t>4.171</w:t>
      </w:r>
      <w:r w:rsidRPr="001C27A1">
        <w:rPr>
          <w:rFonts w:asciiTheme="minorHAnsi" w:hAnsiTheme="minorHAnsi"/>
          <w:noProof/>
          <w:sz w:val="20"/>
          <w:szCs w:val="20"/>
          <w:lang w:val="sr-Cyrl-RS"/>
        </w:rPr>
        <w:t>.</w:t>
      </w:r>
      <w:r w:rsidRPr="001C27A1">
        <w:rPr>
          <w:rFonts w:asciiTheme="minorHAnsi" w:hAnsiTheme="minorHAnsi"/>
          <w:noProof/>
          <w:sz w:val="20"/>
          <w:szCs w:val="20"/>
        </w:rPr>
        <w:t>000</w:t>
      </w:r>
      <w:r w:rsidRPr="001C27A1">
        <w:rPr>
          <w:rFonts w:asciiTheme="minorHAnsi" w:hAnsiTheme="minorHAnsi"/>
          <w:noProof/>
          <w:sz w:val="20"/>
          <w:szCs w:val="20"/>
          <w:lang w:val="sr-Cyrl-RS"/>
        </w:rPr>
        <w:t>,</w:t>
      </w:r>
      <w:r w:rsidRPr="001C27A1">
        <w:rPr>
          <w:rFonts w:asciiTheme="minorHAnsi" w:hAnsiTheme="minorHAnsi"/>
          <w:noProof/>
          <w:sz w:val="20"/>
          <w:szCs w:val="20"/>
        </w:rPr>
        <w:t>00</w:t>
      </w:r>
      <w:r w:rsidRPr="001C27A1">
        <w:rPr>
          <w:rFonts w:asciiTheme="minorHAnsi" w:hAnsiTheme="minorHAnsi"/>
          <w:noProof/>
          <w:sz w:val="20"/>
          <w:szCs w:val="20"/>
          <w:lang w:val="sr-Cyrl-RS"/>
        </w:rPr>
        <w:t xml:space="preserve"> КМ, што је више од </w:t>
      </w:r>
      <w:r w:rsidRPr="001C27A1">
        <w:rPr>
          <w:rFonts w:asciiTheme="minorHAnsi" w:hAnsiTheme="minorHAnsi"/>
          <w:noProof/>
          <w:sz w:val="20"/>
          <w:szCs w:val="20"/>
          <w:lang w:val="sr-Cyrl-BA"/>
        </w:rPr>
        <w:t>половине</w:t>
      </w:r>
      <w:r w:rsidRPr="001C27A1">
        <w:rPr>
          <w:rFonts w:asciiTheme="minorHAnsi" w:hAnsiTheme="minorHAnsi"/>
          <w:noProof/>
          <w:sz w:val="20"/>
          <w:szCs w:val="20"/>
          <w:lang w:val="sr-Cyrl-RS"/>
        </w:rPr>
        <w:t xml:space="preserve"> укупно пласираних средстава (5</w:t>
      </w:r>
      <w:r w:rsidRPr="001C27A1">
        <w:rPr>
          <w:rFonts w:asciiTheme="minorHAnsi" w:hAnsiTheme="minorHAnsi"/>
          <w:noProof/>
          <w:sz w:val="20"/>
          <w:szCs w:val="20"/>
          <w:lang w:val="sr-Cyrl-BA"/>
        </w:rPr>
        <w:t>6</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10</w:t>
      </w:r>
      <w:r w:rsidRPr="001C27A1">
        <w:rPr>
          <w:rFonts w:asciiTheme="minorHAnsi" w:hAnsiTheme="minorHAnsi"/>
          <w:noProof/>
          <w:sz w:val="20"/>
          <w:szCs w:val="20"/>
          <w:lang w:val="sr-Cyrl-RS"/>
        </w:rPr>
        <w:t>%). МФ банка је на другом мјесту са укупно 8</w:t>
      </w:r>
      <w:r w:rsidRPr="001C27A1">
        <w:rPr>
          <w:rFonts w:asciiTheme="minorHAnsi" w:hAnsiTheme="minorHAnsi"/>
          <w:noProof/>
          <w:sz w:val="20"/>
          <w:szCs w:val="20"/>
          <w:lang w:val="sr-Latn-BA"/>
        </w:rPr>
        <w:t>5</w:t>
      </w:r>
      <w:r w:rsidRPr="001C27A1">
        <w:rPr>
          <w:rFonts w:asciiTheme="minorHAnsi" w:hAnsiTheme="minorHAnsi"/>
          <w:noProof/>
          <w:sz w:val="20"/>
          <w:szCs w:val="20"/>
          <w:lang w:val="sr-Cyrl-RS"/>
        </w:rPr>
        <w:t xml:space="preserve"> пласираних кредита у износу од 12.</w:t>
      </w:r>
      <w:r w:rsidRPr="001C27A1">
        <w:rPr>
          <w:rFonts w:asciiTheme="minorHAnsi" w:hAnsiTheme="minorHAnsi"/>
          <w:noProof/>
          <w:sz w:val="20"/>
          <w:szCs w:val="20"/>
          <w:lang w:val="sr-Latn-BA"/>
        </w:rPr>
        <w:t>6</w:t>
      </w:r>
      <w:r w:rsidRPr="001C27A1">
        <w:rPr>
          <w:rFonts w:asciiTheme="minorHAnsi" w:hAnsiTheme="minorHAnsi"/>
          <w:noProof/>
          <w:sz w:val="20"/>
          <w:szCs w:val="20"/>
          <w:lang w:val="sr-Cyrl-RS"/>
        </w:rPr>
        <w:t>32.700,00 КМ, што је 2</w:t>
      </w:r>
      <w:r w:rsidRPr="001C27A1">
        <w:rPr>
          <w:rFonts w:asciiTheme="minorHAnsi" w:hAnsiTheme="minorHAnsi"/>
          <w:noProof/>
          <w:sz w:val="20"/>
          <w:szCs w:val="20"/>
          <w:lang w:val="sr-Latn-BA"/>
        </w:rPr>
        <w:t>0</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74</w:t>
      </w:r>
      <w:r w:rsidRPr="001C27A1">
        <w:rPr>
          <w:rFonts w:asciiTheme="minorHAnsi" w:hAnsiTheme="minorHAnsi"/>
          <w:noProof/>
          <w:sz w:val="20"/>
          <w:szCs w:val="20"/>
          <w:lang w:val="sr-Cyrl-RS"/>
        </w:rPr>
        <w:t>% пласираних средстава. Гаранције које покривају пласмане Procredit банке износе 2</w:t>
      </w:r>
      <w:r w:rsidRPr="001C27A1">
        <w:rPr>
          <w:rFonts w:asciiTheme="minorHAnsi" w:hAnsiTheme="minorHAnsi"/>
          <w:noProof/>
          <w:sz w:val="20"/>
          <w:szCs w:val="20"/>
          <w:lang w:val="sr-Cyrl-BA"/>
        </w:rPr>
        <w:t>3</w:t>
      </w:r>
      <w:r w:rsidRPr="001C27A1">
        <w:rPr>
          <w:rFonts w:asciiTheme="minorHAnsi" w:hAnsiTheme="minorHAnsi"/>
          <w:noProof/>
          <w:sz w:val="20"/>
          <w:szCs w:val="20"/>
          <w:lang w:val="sr-Cyrl-RS"/>
        </w:rPr>
        <w:t>.</w:t>
      </w:r>
      <w:r w:rsidRPr="001C27A1">
        <w:rPr>
          <w:rFonts w:asciiTheme="minorHAnsi" w:hAnsiTheme="minorHAnsi"/>
          <w:noProof/>
          <w:sz w:val="20"/>
          <w:szCs w:val="20"/>
          <w:lang w:val="sr-Cyrl-BA"/>
        </w:rPr>
        <w:t>919</w:t>
      </w:r>
      <w:r w:rsidRPr="001C27A1">
        <w:rPr>
          <w:rFonts w:asciiTheme="minorHAnsi" w:hAnsiTheme="minorHAnsi"/>
          <w:noProof/>
          <w:sz w:val="20"/>
          <w:szCs w:val="20"/>
          <w:lang w:val="sr-Cyrl-RS"/>
        </w:rPr>
        <w:t>.700,00 КМ, док су пласмани МФ банке гарантовани у укупном износу од 8.</w:t>
      </w:r>
      <w:r w:rsidRPr="001C27A1">
        <w:rPr>
          <w:rFonts w:asciiTheme="minorHAnsi" w:hAnsiTheme="minorHAnsi"/>
          <w:noProof/>
          <w:sz w:val="20"/>
          <w:szCs w:val="20"/>
          <w:lang w:val="sr-Latn-BA"/>
        </w:rPr>
        <w:t>842</w:t>
      </w:r>
      <w:r w:rsidRPr="001C27A1">
        <w:rPr>
          <w:rFonts w:asciiTheme="minorHAnsi" w:hAnsiTheme="minorHAnsi"/>
          <w:noProof/>
          <w:sz w:val="20"/>
          <w:szCs w:val="20"/>
          <w:lang w:val="sr-Cyrl-RS"/>
        </w:rPr>
        <w:t xml:space="preserve">.890,00 КМ. </w:t>
      </w:r>
      <w:r w:rsidRPr="001C27A1">
        <w:rPr>
          <w:rFonts w:asciiTheme="minorHAnsi" w:hAnsiTheme="minorHAnsi"/>
          <w:noProof/>
          <w:sz w:val="20"/>
          <w:szCs w:val="20"/>
          <w:lang w:val="sr-Cyrl-BA"/>
        </w:rPr>
        <w:t xml:space="preserve">Двије наведене банке су пласирале нешто више од три четвртине свих средстава у оквиру </w:t>
      </w:r>
      <w:r w:rsidRPr="001C27A1">
        <w:rPr>
          <w:rFonts w:asciiTheme="minorHAnsi" w:hAnsiTheme="minorHAnsi"/>
          <w:sz w:val="20"/>
          <w:szCs w:val="20"/>
          <w:lang w:val="sr-Cyrl-BA"/>
        </w:rPr>
        <w:t>Програма</w:t>
      </w:r>
      <w:r w:rsidRPr="001C27A1">
        <w:rPr>
          <w:rFonts w:asciiTheme="minorHAnsi" w:hAnsiTheme="minorHAnsi"/>
          <w:noProof/>
          <w:sz w:val="20"/>
          <w:szCs w:val="20"/>
          <w:lang w:val="sr-Cyrl-BA"/>
        </w:rPr>
        <w:t xml:space="preserve">. </w:t>
      </w:r>
      <w:r w:rsidRPr="001C27A1">
        <w:rPr>
          <w:rFonts w:asciiTheme="minorHAnsi" w:hAnsiTheme="minorHAnsi"/>
          <w:noProof/>
          <w:sz w:val="20"/>
          <w:szCs w:val="20"/>
          <w:lang w:val="sr-Cyrl-RS"/>
        </w:rPr>
        <w:t>Unicredit банка је на трећем мјесту, а пласирала је 52 кредит</w:t>
      </w:r>
      <w:r w:rsidRPr="001C27A1">
        <w:rPr>
          <w:rFonts w:asciiTheme="minorHAnsi" w:hAnsiTheme="minorHAnsi"/>
          <w:noProof/>
          <w:sz w:val="20"/>
          <w:szCs w:val="20"/>
          <w:lang w:val="sr-Latn-BA"/>
        </w:rPr>
        <w:t>a</w:t>
      </w:r>
      <w:r w:rsidRPr="001C27A1">
        <w:rPr>
          <w:rFonts w:asciiTheme="minorHAnsi" w:hAnsiTheme="minorHAnsi"/>
          <w:noProof/>
          <w:sz w:val="20"/>
          <w:szCs w:val="20"/>
          <w:lang w:val="sr-Cyrl-RS"/>
        </w:rPr>
        <w:t xml:space="preserve"> у износу од 6.145.300,00 КМ (10,</w:t>
      </w:r>
      <w:r w:rsidRPr="001C27A1">
        <w:rPr>
          <w:rFonts w:asciiTheme="minorHAnsi" w:hAnsiTheme="minorHAnsi"/>
          <w:noProof/>
          <w:sz w:val="20"/>
          <w:szCs w:val="20"/>
          <w:lang w:val="sr-Latn-BA"/>
        </w:rPr>
        <w:t>0</w:t>
      </w:r>
      <w:r w:rsidRPr="001C27A1">
        <w:rPr>
          <w:rFonts w:asciiTheme="minorHAnsi" w:hAnsiTheme="minorHAnsi"/>
          <w:noProof/>
          <w:sz w:val="20"/>
          <w:szCs w:val="20"/>
          <w:lang w:val="sr-Cyrl-BA"/>
        </w:rPr>
        <w:t>9</w:t>
      </w:r>
      <w:r w:rsidRPr="001C27A1">
        <w:rPr>
          <w:rFonts w:asciiTheme="minorHAnsi" w:hAnsiTheme="minorHAnsi"/>
          <w:noProof/>
          <w:sz w:val="20"/>
          <w:szCs w:val="20"/>
          <w:lang w:val="sr-Cyrl-RS"/>
        </w:rPr>
        <w:t>% учешћа).</w:t>
      </w:r>
    </w:p>
    <w:p w14:paraId="51D97E3A"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1FCC5F5F"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7E73935A"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32E8EDB7"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2CF44F70"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339839E1" w14:textId="77777777" w:rsidR="00545FA4" w:rsidRPr="001C27A1" w:rsidRDefault="00545FA4" w:rsidP="002B5C72">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Преглед гаранција</w:t>
      </w:r>
      <w:r w:rsidRPr="001C27A1">
        <w:rPr>
          <w:rFonts w:asciiTheme="minorHAnsi" w:eastAsiaTheme="minorHAnsi" w:hAnsiTheme="minorHAnsi"/>
          <w:b/>
          <w:color w:val="auto"/>
          <w:sz w:val="20"/>
          <w:szCs w:val="20"/>
          <w:lang w:val="sr-Cyrl-BA" w:eastAsia="en-US"/>
        </w:rPr>
        <w:t xml:space="preserve"> Гарантног програма </w:t>
      </w:r>
      <w:r w:rsidRPr="001C27A1">
        <w:rPr>
          <w:rFonts w:asciiTheme="minorHAnsi" w:eastAsiaTheme="minorHAnsi" w:hAnsiTheme="minorHAnsi"/>
          <w:b/>
          <w:color w:val="auto"/>
          <w:sz w:val="20"/>
          <w:szCs w:val="20"/>
          <w:lang w:val="sr-Latn-BA" w:eastAsia="en-US"/>
        </w:rPr>
        <w:t xml:space="preserve"> 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по статусу на дан </w:t>
      </w:r>
      <w:r w:rsidRPr="001C27A1">
        <w:rPr>
          <w:rFonts w:asciiTheme="minorHAnsi" w:eastAsiaTheme="minorHAnsi" w:hAnsiTheme="minorHAnsi"/>
          <w:b/>
          <w:color w:val="auto"/>
          <w:sz w:val="20"/>
          <w:szCs w:val="20"/>
          <w:lang w:eastAsia="en-US"/>
        </w:rPr>
        <w:t>31.12.202</w:t>
      </w:r>
      <w:r w:rsidRPr="001C27A1">
        <w:rPr>
          <w:rFonts w:asciiTheme="minorHAnsi" w:eastAsiaTheme="minorHAnsi" w:hAnsiTheme="minorHAnsi"/>
          <w:b/>
          <w:color w:val="auto"/>
          <w:sz w:val="20"/>
          <w:szCs w:val="20"/>
          <w:lang w:val="sr-Cyrl-RS" w:eastAsia="en-US"/>
        </w:rPr>
        <w:t>3</w:t>
      </w:r>
      <w:r w:rsidRPr="001C27A1">
        <w:rPr>
          <w:rFonts w:asciiTheme="minorHAnsi" w:eastAsiaTheme="minorHAnsi" w:hAnsiTheme="minorHAnsi"/>
          <w:b/>
          <w:color w:val="auto"/>
          <w:sz w:val="20"/>
          <w:szCs w:val="20"/>
          <w:lang w:eastAsia="en-US"/>
        </w:rPr>
        <w:t>.</w:t>
      </w:r>
      <w:r w:rsidRPr="001C27A1">
        <w:rPr>
          <w:rFonts w:asciiTheme="minorHAnsi" w:eastAsiaTheme="minorHAnsi" w:hAnsiTheme="minorHAnsi"/>
          <w:b/>
          <w:color w:val="auto"/>
          <w:sz w:val="20"/>
          <w:szCs w:val="20"/>
          <w:lang w:val="sr-Cyrl-RS" w:eastAsia="en-US"/>
        </w:rPr>
        <w:t xml:space="preserve"> године</w:t>
      </w:r>
    </w:p>
    <w:p w14:paraId="71F13D6F" w14:textId="77777777" w:rsidR="00545FA4" w:rsidRPr="001C27A1" w:rsidRDefault="00545FA4" w:rsidP="00545FA4">
      <w:pPr>
        <w:spacing w:line="276" w:lineRule="auto"/>
        <w:jc w:val="center"/>
        <w:rPr>
          <w:rFonts w:asciiTheme="minorHAnsi" w:eastAsiaTheme="minorHAnsi" w:hAnsiTheme="minorHAnsi"/>
          <w:color w:val="auto"/>
          <w:sz w:val="20"/>
          <w:szCs w:val="20"/>
          <w:lang w:val="sr-Cyrl-RS" w:eastAsia="en-US"/>
        </w:rPr>
      </w:pPr>
    </w:p>
    <w:p w14:paraId="4ECEBD37" w14:textId="77777777" w:rsidR="00545FA4" w:rsidRPr="001C27A1" w:rsidRDefault="00545FA4" w:rsidP="00545FA4">
      <w:pPr>
        <w:spacing w:line="276" w:lineRule="auto"/>
        <w:jc w:val="right"/>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Табела 2</w:t>
      </w:r>
      <w:r w:rsidR="00A944C8">
        <w:rPr>
          <w:rFonts w:asciiTheme="minorHAnsi" w:eastAsiaTheme="minorHAnsi" w:hAnsiTheme="minorHAnsi"/>
          <w:b/>
          <w:color w:val="auto"/>
          <w:sz w:val="20"/>
          <w:szCs w:val="20"/>
          <w:lang w:val="sr-Cyrl-RS" w:eastAsia="en-US"/>
        </w:rPr>
        <w:t>0</w:t>
      </w:r>
    </w:p>
    <w:tbl>
      <w:tblPr>
        <w:tblW w:w="8789" w:type="dxa"/>
        <w:tblInd w:w="108" w:type="dxa"/>
        <w:tblLook w:val="04A0" w:firstRow="1" w:lastRow="0" w:firstColumn="1" w:lastColumn="0" w:noHBand="0" w:noVBand="1"/>
      </w:tblPr>
      <w:tblGrid>
        <w:gridCol w:w="1819"/>
        <w:gridCol w:w="709"/>
        <w:gridCol w:w="2339"/>
        <w:gridCol w:w="2221"/>
        <w:gridCol w:w="1701"/>
      </w:tblGrid>
      <w:tr w:rsidR="002B5C72" w:rsidRPr="001C27A1" w14:paraId="66A2DB55" w14:textId="77777777" w:rsidTr="002B5C72">
        <w:trPr>
          <w:trHeight w:val="720"/>
        </w:trPr>
        <w:tc>
          <w:tcPr>
            <w:tcW w:w="18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C3DC46A"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Статус</w:t>
            </w:r>
          </w:p>
        </w:tc>
        <w:tc>
          <w:tcPr>
            <w:tcW w:w="709"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18A503C2"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Број</w:t>
            </w:r>
          </w:p>
        </w:tc>
        <w:tc>
          <w:tcPr>
            <w:tcW w:w="2339"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0D8DD6A9"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Износ кредита</w:t>
            </w:r>
          </w:p>
        </w:tc>
        <w:tc>
          <w:tcPr>
            <w:tcW w:w="222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1570D92E"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 xml:space="preserve">Номинални </w:t>
            </w:r>
            <w:r w:rsidRPr="002B5C72">
              <w:rPr>
                <w:rFonts w:asciiTheme="minorHAnsi" w:eastAsiaTheme="minorHAnsi" w:hAnsiTheme="minorHAnsi"/>
                <w:b/>
                <w:color w:val="auto"/>
                <w:sz w:val="18"/>
                <w:szCs w:val="18"/>
                <w:lang w:val="sr-Cyrl-RS" w:eastAsia="en-US"/>
              </w:rPr>
              <w:t>и</w:t>
            </w:r>
            <w:r w:rsidRPr="002B5C72">
              <w:rPr>
                <w:rFonts w:asciiTheme="minorHAnsi" w:eastAsiaTheme="minorHAnsi" w:hAnsiTheme="minorHAnsi"/>
                <w:b/>
                <w:color w:val="auto"/>
                <w:sz w:val="18"/>
                <w:szCs w:val="18"/>
                <w:lang w:eastAsia="en-US"/>
              </w:rPr>
              <w:t>знос гаранције</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25486DA3"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Стање гаранције</w:t>
            </w:r>
          </w:p>
        </w:tc>
      </w:tr>
      <w:tr w:rsidR="002B5C72" w:rsidRPr="001C27A1" w14:paraId="3B3769C6" w14:textId="77777777" w:rsidTr="002B5C72">
        <w:trPr>
          <w:trHeight w:val="395"/>
        </w:trPr>
        <w:tc>
          <w:tcPr>
            <w:tcW w:w="1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532E9" w14:textId="77777777" w:rsidR="002B5C72" w:rsidRPr="002B5C72" w:rsidRDefault="002B5C72" w:rsidP="00545FA4">
            <w:pPr>
              <w:spacing w:line="276" w:lineRule="auto"/>
              <w:jc w:val="lef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Активно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3EBEC0"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270</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1A28CF1A"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val="sr-Cyrl-RS" w:eastAsia="en-US"/>
              </w:rPr>
              <w:t>42.049.628,00</w:t>
            </w:r>
            <w:r w:rsidRPr="002B5C72">
              <w:rPr>
                <w:rFonts w:ascii="Arial" w:eastAsiaTheme="minorHAnsi" w:hAnsi="Arial" w:cs="Arial"/>
                <w:color w:val="auto"/>
                <w:sz w:val="18"/>
                <w:szCs w:val="18"/>
                <w:lang w:eastAsia="en-US"/>
              </w:rPr>
              <w:t>‬</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2A9DDBF5"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29.434.739,60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0C12BC"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val="sr-Cyrl-RS" w:eastAsia="en-US"/>
              </w:rPr>
              <w:t>16.120.969,21</w:t>
            </w:r>
            <w:r w:rsidRPr="002B5C72">
              <w:rPr>
                <w:rFonts w:asciiTheme="minorHAnsi" w:eastAsiaTheme="minorHAnsi" w:hAnsiTheme="minorHAnsi"/>
                <w:color w:val="auto"/>
                <w:sz w:val="18"/>
                <w:szCs w:val="18"/>
                <w:lang w:eastAsia="en-US"/>
              </w:rPr>
              <w:t> </w:t>
            </w:r>
          </w:p>
        </w:tc>
      </w:tr>
      <w:tr w:rsidR="002B5C72" w:rsidRPr="001C27A1" w14:paraId="360B3CBB"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1A29A" w14:textId="77777777" w:rsidR="002B5C72" w:rsidRPr="002B5C72" w:rsidRDefault="002B5C72" w:rsidP="00545FA4">
            <w:pPr>
              <w:spacing w:line="276" w:lineRule="auto"/>
              <w:jc w:val="lef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Ван снаге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627C757"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142</w:t>
            </w:r>
          </w:p>
        </w:tc>
        <w:tc>
          <w:tcPr>
            <w:tcW w:w="2339" w:type="dxa"/>
            <w:tcBorders>
              <w:top w:val="single" w:sz="4" w:space="0" w:color="auto"/>
              <w:left w:val="nil"/>
              <w:bottom w:val="single" w:sz="4" w:space="0" w:color="auto"/>
              <w:right w:val="single" w:sz="4" w:space="0" w:color="auto"/>
            </w:tcBorders>
            <w:shd w:val="clear" w:color="auto" w:fill="auto"/>
            <w:noWrap/>
            <w:vAlign w:val="bottom"/>
            <w:hideMark/>
          </w:tcPr>
          <w:p w14:paraId="3F16FC78"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18.211.001,00</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6FE05358"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12.747.700,70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BEA4950"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0,00</w:t>
            </w:r>
          </w:p>
        </w:tc>
      </w:tr>
      <w:tr w:rsidR="002B5C72" w:rsidRPr="001C27A1" w14:paraId="7EE8516B"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5B463" w14:textId="77777777" w:rsidR="002B5C72" w:rsidRPr="002B5C72" w:rsidRDefault="002B5C72" w:rsidP="00545FA4">
            <w:pPr>
              <w:spacing w:line="276" w:lineRule="auto"/>
              <w:jc w:val="lef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Протестовано</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9862DBC"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val="sr-Cyrl-RS" w:eastAsia="en-US"/>
              </w:rPr>
              <w:t>4</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7B952AC2"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val="sr-Cyrl-RS" w:eastAsia="en-US"/>
              </w:rPr>
              <w:t>6</w:t>
            </w:r>
            <w:r w:rsidRPr="002B5C72">
              <w:rPr>
                <w:rFonts w:asciiTheme="minorHAnsi" w:eastAsiaTheme="minorHAnsi" w:hAnsiTheme="minorHAnsi"/>
                <w:color w:val="auto"/>
                <w:sz w:val="18"/>
                <w:szCs w:val="18"/>
                <w:lang w:eastAsia="en-US"/>
              </w:rPr>
              <w:t>50.000,00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24964DCA"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val="sr-Cyrl-RS" w:eastAsia="en-US"/>
              </w:rPr>
              <w:t>455</w:t>
            </w:r>
            <w:r w:rsidRPr="002B5C72">
              <w:rPr>
                <w:rFonts w:asciiTheme="minorHAnsi" w:eastAsiaTheme="minorHAnsi" w:hAnsiTheme="minorHAnsi"/>
                <w:color w:val="auto"/>
                <w:sz w:val="18"/>
                <w:szCs w:val="18"/>
                <w:lang w:eastAsia="en-US"/>
              </w:rPr>
              <w:t>.000,00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532F4DB"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0,00</w:t>
            </w:r>
          </w:p>
        </w:tc>
      </w:tr>
      <w:tr w:rsidR="00545FA4" w:rsidRPr="001C27A1" w14:paraId="5AD4C4BF"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31886A3C" w14:textId="77777777" w:rsidR="00545FA4" w:rsidRPr="002B5C72" w:rsidRDefault="00545FA4" w:rsidP="00545FA4">
            <w:pPr>
              <w:spacing w:line="276" w:lineRule="auto"/>
              <w:jc w:val="left"/>
              <w:rPr>
                <w:rFonts w:asciiTheme="minorHAnsi" w:eastAsiaTheme="minorHAnsi" w:hAnsiTheme="minorHAnsi"/>
                <w:b/>
                <w:bCs/>
                <w:color w:val="auto"/>
                <w:sz w:val="18"/>
                <w:szCs w:val="18"/>
                <w:lang w:eastAsia="en-US"/>
              </w:rPr>
            </w:pPr>
            <w:r w:rsidRPr="002B5C72">
              <w:rPr>
                <w:rFonts w:asciiTheme="minorHAnsi" w:eastAsiaTheme="minorHAnsi" w:hAnsiTheme="minorHAnsi"/>
                <w:b/>
                <w:bCs/>
                <w:color w:val="auto"/>
                <w:sz w:val="18"/>
                <w:szCs w:val="18"/>
                <w:lang w:val="sr-Cyrl-BA" w:eastAsia="en-US"/>
              </w:rPr>
              <w:t>Укупно</w:t>
            </w:r>
          </w:p>
        </w:tc>
        <w:tc>
          <w:tcPr>
            <w:tcW w:w="70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59605D15" w14:textId="77777777" w:rsidR="00545FA4" w:rsidRPr="002B5C72" w:rsidRDefault="00545FA4" w:rsidP="00545FA4">
            <w:pPr>
              <w:spacing w:line="276" w:lineRule="auto"/>
              <w:jc w:val="center"/>
              <w:rPr>
                <w:rFonts w:asciiTheme="minorHAnsi" w:eastAsiaTheme="minorHAnsi" w:hAnsiTheme="minorHAnsi"/>
                <w:b/>
                <w:bCs/>
                <w:color w:val="auto"/>
                <w:sz w:val="18"/>
                <w:szCs w:val="18"/>
                <w:lang w:val="sr-Cyrl-RS" w:eastAsia="en-US"/>
              </w:rPr>
            </w:pPr>
            <w:r w:rsidRPr="002B5C72">
              <w:rPr>
                <w:rFonts w:asciiTheme="minorHAnsi" w:eastAsiaTheme="minorHAnsi" w:hAnsiTheme="minorHAnsi"/>
                <w:b/>
                <w:bCs/>
                <w:color w:val="auto"/>
                <w:sz w:val="18"/>
                <w:szCs w:val="18"/>
                <w:lang w:eastAsia="en-US"/>
              </w:rPr>
              <w:t>416</w:t>
            </w:r>
          </w:p>
        </w:tc>
        <w:tc>
          <w:tcPr>
            <w:tcW w:w="233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60DFCDF0" w14:textId="77777777" w:rsidR="00545FA4" w:rsidRPr="002B5C72" w:rsidRDefault="00545FA4" w:rsidP="00545FA4">
            <w:pPr>
              <w:spacing w:line="276" w:lineRule="auto"/>
              <w:jc w:val="right"/>
              <w:rPr>
                <w:rFonts w:asciiTheme="minorHAnsi" w:eastAsiaTheme="minorHAnsi" w:hAnsiTheme="minorHAnsi"/>
                <w:b/>
                <w:bCs/>
                <w:color w:val="auto"/>
                <w:sz w:val="18"/>
                <w:szCs w:val="18"/>
                <w:lang w:eastAsia="en-US"/>
              </w:rPr>
            </w:pPr>
            <w:r w:rsidRPr="002B5C72">
              <w:rPr>
                <w:rFonts w:asciiTheme="minorHAnsi" w:eastAsiaTheme="minorHAnsi" w:hAnsiTheme="minorHAnsi"/>
                <w:b/>
                <w:bCs/>
                <w:color w:val="auto"/>
                <w:sz w:val="18"/>
                <w:szCs w:val="18"/>
                <w:lang w:eastAsia="en-US"/>
              </w:rPr>
              <w:t>60.910.629,00</w:t>
            </w:r>
          </w:p>
        </w:tc>
        <w:tc>
          <w:tcPr>
            <w:tcW w:w="222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04EC4BD4" w14:textId="77777777" w:rsidR="00545FA4" w:rsidRPr="002B5C72" w:rsidRDefault="00545FA4" w:rsidP="00545FA4">
            <w:pPr>
              <w:spacing w:line="276" w:lineRule="auto"/>
              <w:jc w:val="right"/>
              <w:rPr>
                <w:rFonts w:asciiTheme="minorHAnsi" w:eastAsiaTheme="minorHAnsi" w:hAnsiTheme="minorHAnsi"/>
                <w:b/>
                <w:bCs/>
                <w:color w:val="auto"/>
                <w:sz w:val="18"/>
                <w:szCs w:val="18"/>
                <w:lang w:eastAsia="en-US"/>
              </w:rPr>
            </w:pPr>
            <w:r w:rsidRPr="002B5C72">
              <w:rPr>
                <w:rFonts w:asciiTheme="minorHAnsi" w:eastAsiaTheme="minorHAnsi" w:hAnsiTheme="minorHAnsi"/>
                <w:b/>
                <w:bCs/>
                <w:color w:val="auto"/>
                <w:sz w:val="18"/>
                <w:szCs w:val="18"/>
                <w:lang w:eastAsia="en-US"/>
              </w:rPr>
              <w:t>42.</w:t>
            </w:r>
            <w:r w:rsidRPr="002B5C72">
              <w:rPr>
                <w:rFonts w:asciiTheme="minorHAnsi" w:eastAsiaTheme="minorHAnsi" w:hAnsiTheme="minorHAnsi"/>
                <w:b/>
                <w:bCs/>
                <w:color w:val="auto"/>
                <w:sz w:val="18"/>
                <w:szCs w:val="18"/>
                <w:lang w:val="sr-Cyrl-RS" w:eastAsia="en-US"/>
              </w:rPr>
              <w:t>637.440,30</w:t>
            </w:r>
          </w:p>
        </w:tc>
        <w:tc>
          <w:tcPr>
            <w:tcW w:w="1701" w:type="dxa"/>
            <w:tcBorders>
              <w:top w:val="nil"/>
              <w:left w:val="nil"/>
              <w:bottom w:val="single" w:sz="4" w:space="0" w:color="auto"/>
              <w:right w:val="single" w:sz="4" w:space="0" w:color="auto"/>
            </w:tcBorders>
            <w:shd w:val="clear" w:color="auto" w:fill="8DB3E2" w:themeFill="text2" w:themeFillTint="66"/>
            <w:noWrap/>
            <w:vAlign w:val="bottom"/>
            <w:hideMark/>
          </w:tcPr>
          <w:p w14:paraId="7825BD1C" w14:textId="77777777" w:rsidR="00545FA4" w:rsidRPr="002B5C72" w:rsidRDefault="00545FA4" w:rsidP="00545FA4">
            <w:pPr>
              <w:spacing w:line="276" w:lineRule="auto"/>
              <w:jc w:val="right"/>
              <w:rPr>
                <w:rFonts w:asciiTheme="minorHAnsi" w:eastAsiaTheme="minorHAnsi" w:hAnsiTheme="minorHAnsi"/>
                <w:b/>
                <w:bCs/>
                <w:color w:val="auto"/>
                <w:sz w:val="18"/>
                <w:szCs w:val="18"/>
                <w:lang w:val="sr-Cyrl-RS" w:eastAsia="en-US"/>
              </w:rPr>
            </w:pPr>
            <w:r w:rsidRPr="002B5C72">
              <w:rPr>
                <w:rFonts w:asciiTheme="minorHAnsi" w:eastAsiaTheme="minorHAnsi" w:hAnsiTheme="minorHAnsi"/>
                <w:b/>
                <w:bCs/>
                <w:color w:val="auto"/>
                <w:sz w:val="18"/>
                <w:szCs w:val="18"/>
                <w:lang w:val="sr-Cyrl-RS" w:eastAsia="en-US"/>
              </w:rPr>
              <w:t>16.120.969,21</w:t>
            </w:r>
          </w:p>
        </w:tc>
      </w:tr>
    </w:tbl>
    <w:p w14:paraId="2F8CAAAE" w14:textId="77777777" w:rsidR="00545FA4" w:rsidRPr="001C27A1" w:rsidRDefault="00545FA4" w:rsidP="00545FA4">
      <w:pPr>
        <w:spacing w:line="276" w:lineRule="auto"/>
        <w:jc w:val="right"/>
        <w:rPr>
          <w:rFonts w:asciiTheme="minorHAnsi" w:eastAsiaTheme="minorHAnsi" w:hAnsiTheme="minorHAnsi"/>
          <w:color w:val="auto"/>
          <w:sz w:val="20"/>
          <w:szCs w:val="20"/>
          <w:lang w:val="sr-Cyrl-BA" w:eastAsia="en-US"/>
        </w:rPr>
      </w:pPr>
    </w:p>
    <w:p w14:paraId="427CA024" w14:textId="77777777" w:rsidR="00545FA4" w:rsidRPr="001C27A1" w:rsidRDefault="009C697E" w:rsidP="00545FA4">
      <w:pPr>
        <w:spacing w:line="276" w:lineRule="auto"/>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 xml:space="preserve">До дана 31.12.2023. године, ван снаге су стављене укупно 142 гаранције одобрене у номиналном износу од 12.747.700,70 КМ. </w:t>
      </w:r>
      <w:r w:rsidR="00545FA4" w:rsidRPr="001C27A1">
        <w:rPr>
          <w:rFonts w:asciiTheme="minorHAnsi" w:eastAsiaTheme="minorHAnsi" w:hAnsiTheme="minorHAnsi"/>
          <w:color w:val="auto"/>
          <w:sz w:val="20"/>
          <w:szCs w:val="20"/>
          <w:lang w:val="sr-Cyrl-BA" w:eastAsia="en-US"/>
        </w:rPr>
        <w:t>Током 2023. године, ван снаге је стављено 79 гаранција одобрених у номиналном износу од 6.663.299,30 КМ. Протестоване су 4 гаранције одобрене у номиналном износу од 455.000,00 КМ, гдје је плаћени износ 213.199,26 КМ, што одговара стању гаранција на дан протеста. Протестоване су и 4 гаранције гдје је након формалне контроле утврђено да нису испуњени услови за плаћање, те су ове гаранције по а</w:t>
      </w:r>
      <w:r>
        <w:rPr>
          <w:rFonts w:asciiTheme="minorHAnsi" w:eastAsiaTheme="minorHAnsi" w:hAnsiTheme="minorHAnsi"/>
          <w:color w:val="auto"/>
          <w:sz w:val="20"/>
          <w:szCs w:val="20"/>
          <w:lang w:val="sr-Cyrl-BA" w:eastAsia="en-US"/>
        </w:rPr>
        <w:t xml:space="preserve">утоматизму стављене ван снаге.  </w:t>
      </w:r>
      <w:r w:rsidR="00545FA4" w:rsidRPr="001C27A1">
        <w:rPr>
          <w:rFonts w:asciiTheme="minorHAnsi" w:eastAsiaTheme="minorHAnsi" w:hAnsiTheme="minorHAnsi"/>
          <w:color w:val="auto"/>
          <w:sz w:val="20"/>
          <w:szCs w:val="20"/>
          <w:lang w:val="sr-Cyrl-BA" w:eastAsia="en-US"/>
        </w:rPr>
        <w:t>На дан 31.12.2023. године, активно је 270 гаранција које су одобрене у номиналном износу од 29.049.628,00 КМ, чије стање на овај дан износи 16.120.969,21 КМ.</w:t>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r>
      <w:r w:rsidR="00545FA4" w:rsidRPr="001C27A1">
        <w:rPr>
          <w:rFonts w:asciiTheme="minorHAnsi" w:eastAsiaTheme="minorHAnsi" w:hAnsiTheme="minorHAnsi"/>
          <w:color w:val="auto"/>
          <w:sz w:val="20"/>
          <w:szCs w:val="20"/>
          <w:lang w:val="sr-Cyrl-BA" w:eastAsia="en-US"/>
        </w:rPr>
        <w:tab/>
        <w:t xml:space="preserve">        </w:t>
      </w:r>
    </w:p>
    <w:p w14:paraId="42185121" w14:textId="77777777" w:rsidR="00545FA4" w:rsidRPr="001C27A1" w:rsidRDefault="00545FA4" w:rsidP="00545FA4">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Преглед стања гаранција и максимално дозвољеног износа гаранција на нивоу  кредитног портфеља финансијских посредника у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b/>
          <w:color w:val="auto"/>
          <w:sz w:val="20"/>
          <w:szCs w:val="20"/>
          <w:lang w:val="sr-Cyrl-BA" w:eastAsia="en-US"/>
        </w:rPr>
        <w:t xml:space="preserve">Гарантном програму </w:t>
      </w:r>
      <w:r w:rsidRPr="001C27A1">
        <w:rPr>
          <w:rFonts w:asciiTheme="minorHAnsi" w:eastAsiaTheme="minorHAnsi" w:hAnsiTheme="minorHAnsi"/>
          <w:b/>
          <w:color w:val="auto"/>
          <w:sz w:val="20"/>
          <w:szCs w:val="20"/>
          <w:lang w:val="sr-Latn-BA" w:eastAsia="en-US"/>
        </w:rPr>
        <w:t xml:space="preserve"> COVID 19</w:t>
      </w:r>
      <w:r w:rsidRPr="001C27A1">
        <w:rPr>
          <w:rFonts w:asciiTheme="minorHAnsi" w:eastAsiaTheme="minorHAnsi" w:hAnsiTheme="minorHAnsi"/>
          <w:b/>
          <w:color w:val="auto"/>
          <w:sz w:val="20"/>
          <w:szCs w:val="20"/>
          <w:lang w:val="sr-Cyrl-BA" w:eastAsia="en-US"/>
        </w:rPr>
        <w:t xml:space="preserve"> </w:t>
      </w:r>
      <w:r w:rsidRPr="001C27A1">
        <w:rPr>
          <w:rFonts w:asciiTheme="minorHAnsi" w:eastAsiaTheme="minorHAnsi" w:hAnsiTheme="minorHAnsi"/>
          <w:b/>
          <w:color w:val="auto"/>
          <w:sz w:val="20"/>
          <w:szCs w:val="20"/>
          <w:lang w:val="sr-Cyrl-RS" w:eastAsia="en-US"/>
        </w:rPr>
        <w:t>на дан 31.12.2023. године</w:t>
      </w:r>
    </w:p>
    <w:p w14:paraId="39ED46D7"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5EC37681" w14:textId="77777777" w:rsidR="00545FA4" w:rsidRPr="001C27A1" w:rsidRDefault="00545FA4" w:rsidP="00545FA4">
      <w:pPr>
        <w:spacing w:line="276" w:lineRule="auto"/>
        <w:rPr>
          <w:rFonts w:asciiTheme="minorHAnsi" w:eastAsiaTheme="minorHAnsi" w:hAnsiTheme="minorHAnsi"/>
          <w:b/>
          <w:color w:val="000000" w:themeColor="text1"/>
          <w:sz w:val="20"/>
          <w:szCs w:val="20"/>
          <w:lang w:val="sr-Cyrl-RS" w:eastAsia="en-US"/>
        </w:rPr>
      </w:pP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b/>
          <w:color w:val="000000" w:themeColor="text1"/>
          <w:sz w:val="20"/>
          <w:szCs w:val="20"/>
          <w:lang w:val="sr-Cyrl-RS" w:eastAsia="en-US"/>
        </w:rPr>
        <w:t>Табела 2</w:t>
      </w:r>
      <w:r w:rsidR="00A944C8">
        <w:rPr>
          <w:rFonts w:asciiTheme="minorHAnsi" w:eastAsiaTheme="minorHAnsi" w:hAnsiTheme="minorHAnsi"/>
          <w:b/>
          <w:color w:val="000000" w:themeColor="text1"/>
          <w:sz w:val="20"/>
          <w:szCs w:val="20"/>
          <w:lang w:val="sr-Cyrl-RS" w:eastAsia="en-US"/>
        </w:rPr>
        <w:t>1</w:t>
      </w:r>
    </w:p>
    <w:tbl>
      <w:tblPr>
        <w:tblW w:w="8662" w:type="dxa"/>
        <w:tblInd w:w="93" w:type="dxa"/>
        <w:tblLayout w:type="fixed"/>
        <w:tblLook w:val="04A0" w:firstRow="1" w:lastRow="0" w:firstColumn="1" w:lastColumn="0" w:noHBand="0" w:noVBand="1"/>
      </w:tblPr>
      <w:tblGrid>
        <w:gridCol w:w="3843"/>
        <w:gridCol w:w="1559"/>
        <w:gridCol w:w="1559"/>
        <w:gridCol w:w="1701"/>
      </w:tblGrid>
      <w:tr w:rsidR="00545FA4" w:rsidRPr="001C27A1" w14:paraId="707BF192" w14:textId="77777777" w:rsidTr="009C697E">
        <w:trPr>
          <w:trHeight w:val="552"/>
        </w:trPr>
        <w:tc>
          <w:tcPr>
            <w:tcW w:w="38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BA608E2"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lang w:val="sr-Cyrl-BA"/>
              </w:rPr>
              <w:t>Финансијски посредник</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BAF8DA8"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 xml:space="preserve">Стање кредита на дан </w:t>
            </w:r>
            <w:r w:rsidRPr="009C697E">
              <w:rPr>
                <w:rFonts w:asciiTheme="minorHAnsi" w:hAnsiTheme="minorHAnsi"/>
                <w:b/>
                <w:color w:val="auto"/>
                <w:sz w:val="18"/>
                <w:szCs w:val="18"/>
                <w:lang w:val="sr-Cyrl-BA"/>
              </w:rPr>
              <w:t>31.12.2023.</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18DA51C8"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 xml:space="preserve">Стање гаранције на дан </w:t>
            </w:r>
            <w:r w:rsidRPr="009C697E">
              <w:rPr>
                <w:rFonts w:asciiTheme="minorHAnsi" w:hAnsiTheme="minorHAnsi"/>
                <w:b/>
                <w:color w:val="auto"/>
                <w:sz w:val="18"/>
                <w:szCs w:val="18"/>
                <w:lang w:val="sr-Cyrl-BA"/>
              </w:rPr>
              <w:t>31.12.2023.</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A8020EE"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 xml:space="preserve">Максимални дозвољени износ гаранције на дан </w:t>
            </w:r>
            <w:r w:rsidRPr="009C697E">
              <w:rPr>
                <w:rFonts w:asciiTheme="minorHAnsi" w:hAnsiTheme="minorHAnsi"/>
                <w:b/>
                <w:color w:val="auto"/>
                <w:sz w:val="18"/>
                <w:szCs w:val="18"/>
                <w:lang w:val="sr-Cyrl-BA"/>
              </w:rPr>
              <w:t>31.12.2023.</w:t>
            </w:r>
          </w:p>
        </w:tc>
      </w:tr>
      <w:tr w:rsidR="00545FA4" w:rsidRPr="001C27A1" w14:paraId="71257CD4"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F6732"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Procredit bank д.д. Сарајево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6DE6D"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15.117.740,33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FDFB3"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10.582.418,23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755C9A4"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3.174.725,47</w:t>
            </w:r>
          </w:p>
        </w:tc>
      </w:tr>
      <w:tr w:rsidR="00545FA4" w:rsidRPr="001C27A1" w14:paraId="5F9A1A42"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2D291"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Unicredit bank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4E0C4"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906.186,81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F7BBE"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634.330,77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36B1F3D"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190.299,23</w:t>
            </w:r>
          </w:p>
        </w:tc>
      </w:tr>
      <w:tr w:rsidR="00545FA4" w:rsidRPr="001C27A1" w14:paraId="1E610361"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E5189"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Мф банка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ABC67"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4.544.869,08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A87C6"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3.181.408,36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A976DEC"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954.422,51</w:t>
            </w:r>
          </w:p>
        </w:tc>
      </w:tr>
      <w:tr w:rsidR="00545FA4" w:rsidRPr="001C27A1" w14:paraId="72890B07"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5178"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Нова банка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12908"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1.697.753,47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FF9D7"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1.188.427,43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6707018"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356.528,29</w:t>
            </w:r>
          </w:p>
        </w:tc>
      </w:tr>
      <w:tr w:rsidR="00545FA4" w:rsidRPr="001C27A1" w14:paraId="1A75E6C6"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9023C"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Raiffeisen bank д.д.</w:t>
            </w:r>
            <w:r w:rsidR="00545FA4" w:rsidRPr="009C697E">
              <w:rPr>
                <w:rFonts w:asciiTheme="minorHAnsi" w:hAnsiTheme="minorHAnsi"/>
                <w:caps/>
                <w:sz w:val="18"/>
                <w:szCs w:val="18"/>
              </w:rPr>
              <w:t xml:space="preserve"> </w:t>
            </w:r>
            <w:r w:rsidRPr="009C697E">
              <w:rPr>
                <w:rFonts w:asciiTheme="minorHAnsi" w:hAnsiTheme="minorHAnsi"/>
                <w:sz w:val="18"/>
                <w:szCs w:val="18"/>
                <w:lang w:val="sr-Cyrl-BA"/>
              </w:rPr>
              <w:t>Сарајево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7607B"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287.545,63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D40B9"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201.281,94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F48E495"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60.384,58</w:t>
            </w:r>
          </w:p>
        </w:tc>
      </w:tr>
      <w:tr w:rsidR="00545FA4" w:rsidRPr="001C27A1" w14:paraId="2B9D0890"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2E7B6"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Нлб банка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00A49"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73.666,54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74BD8"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51.566,58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A654F39"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15.469,97</w:t>
            </w:r>
          </w:p>
        </w:tc>
      </w:tr>
      <w:tr w:rsidR="00545FA4" w:rsidRPr="001C27A1" w14:paraId="18594C54" w14:textId="77777777" w:rsidTr="00545FA4">
        <w:trPr>
          <w:trHeight w:val="213"/>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E4166"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 xml:space="preserve">Банка </w:t>
            </w:r>
            <w:r>
              <w:rPr>
                <w:rFonts w:asciiTheme="minorHAnsi" w:hAnsiTheme="minorHAnsi"/>
                <w:sz w:val="18"/>
                <w:szCs w:val="18"/>
              </w:rPr>
              <w:t xml:space="preserve">поштанска штедионица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FABAA"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50.189,97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968C8"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35.132,98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E59A33"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10.539,87</w:t>
            </w:r>
          </w:p>
        </w:tc>
      </w:tr>
      <w:tr w:rsidR="00545FA4" w:rsidRPr="001C27A1" w14:paraId="4C712DE7"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1F607"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Мкд микрофин д.о.о.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83744"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D2BE9"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41A3508"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0,00</w:t>
            </w:r>
          </w:p>
        </w:tc>
      </w:tr>
      <w:tr w:rsidR="00545FA4" w:rsidRPr="001C27A1" w14:paraId="6F4865DF"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AD807"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 xml:space="preserve">Atos bank а.д. Бања </w:t>
            </w:r>
            <w:r>
              <w:rPr>
                <w:rFonts w:asciiTheme="minorHAnsi" w:hAnsiTheme="minorHAnsi"/>
                <w:sz w:val="18"/>
                <w:szCs w:val="18"/>
                <w:lang w:val="sr-Cyrl-RS"/>
              </w:rPr>
              <w:t>Л</w:t>
            </w:r>
            <w:r w:rsidRPr="009C697E">
              <w:rPr>
                <w:rFonts w:asciiTheme="minorHAnsi" w:hAnsiTheme="minorHAnsi"/>
                <w:sz w:val="18"/>
                <w:szCs w:val="18"/>
              </w:rPr>
              <w:t>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E479B"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352.004,19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DCE97"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lang w:val="sr-Cyrl-RS"/>
              </w:rPr>
              <w:t>246.402,93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1FB4310"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val="sr-Cyrl-RS" w:eastAsia="en-US"/>
              </w:rPr>
              <w:t>73.920,88</w:t>
            </w:r>
          </w:p>
        </w:tc>
      </w:tr>
      <w:tr w:rsidR="00545FA4" w:rsidRPr="001C27A1" w14:paraId="65F43DB8" w14:textId="77777777" w:rsidTr="009C697E">
        <w:trPr>
          <w:trHeight w:val="252"/>
        </w:trPr>
        <w:tc>
          <w:tcPr>
            <w:tcW w:w="384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7790A88" w14:textId="62C737FF" w:rsidR="00545FA4" w:rsidRPr="009C697E" w:rsidRDefault="00A17121" w:rsidP="00545FA4">
            <w:pPr>
              <w:jc w:val="left"/>
              <w:rPr>
                <w:rFonts w:asciiTheme="minorHAnsi" w:hAnsiTheme="minorHAnsi"/>
                <w:b/>
                <w:bCs/>
                <w:color w:val="auto"/>
                <w:sz w:val="18"/>
                <w:szCs w:val="18"/>
                <w:lang w:val="sr-Cyrl-BA"/>
              </w:rPr>
            </w:pPr>
            <w:r>
              <w:rPr>
                <w:rFonts w:asciiTheme="minorHAnsi" w:hAnsiTheme="minorHAnsi"/>
                <w:b/>
                <w:bCs/>
                <w:color w:val="auto"/>
                <w:sz w:val="18"/>
                <w:szCs w:val="18"/>
                <w:lang w:val="sr-Cyrl-BA"/>
              </w:rPr>
              <w:t>Укупно</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0995DA40" w14:textId="77777777" w:rsidR="00545FA4" w:rsidRPr="009C697E" w:rsidRDefault="00545FA4" w:rsidP="00545FA4">
            <w:pPr>
              <w:jc w:val="right"/>
              <w:rPr>
                <w:rFonts w:asciiTheme="minorHAnsi" w:hAnsiTheme="minorHAnsi"/>
                <w:b/>
                <w:bCs/>
                <w:color w:val="auto"/>
                <w:sz w:val="18"/>
                <w:szCs w:val="18"/>
                <w:lang w:val="sr-Cyrl-RS"/>
              </w:rPr>
            </w:pPr>
            <w:r w:rsidRPr="009C697E">
              <w:rPr>
                <w:rFonts w:asciiTheme="minorHAnsi" w:hAnsiTheme="minorHAnsi"/>
                <w:b/>
                <w:bCs/>
                <w:color w:val="auto"/>
                <w:sz w:val="18"/>
                <w:szCs w:val="18"/>
                <w:lang w:val="sr-Cyrl-RS"/>
              </w:rPr>
              <w:t>23.029.956,02</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4E290BB" w14:textId="77777777" w:rsidR="00545FA4" w:rsidRPr="009C697E" w:rsidRDefault="00545FA4" w:rsidP="00545FA4">
            <w:pPr>
              <w:jc w:val="right"/>
              <w:rPr>
                <w:rFonts w:asciiTheme="minorHAnsi" w:hAnsiTheme="minorHAnsi"/>
                <w:b/>
                <w:bCs/>
                <w:color w:val="auto"/>
                <w:sz w:val="18"/>
                <w:szCs w:val="18"/>
                <w:lang w:val="sr-Cyrl-RS"/>
              </w:rPr>
            </w:pPr>
            <w:r w:rsidRPr="009C697E">
              <w:rPr>
                <w:rFonts w:asciiTheme="minorHAnsi" w:hAnsiTheme="minorHAnsi"/>
                <w:b/>
                <w:bCs/>
                <w:color w:val="auto"/>
                <w:sz w:val="18"/>
                <w:szCs w:val="18"/>
                <w:lang w:val="sr-Cyrl-RS"/>
              </w:rPr>
              <w:t>16.120.969,21</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tcPr>
          <w:p w14:paraId="12D73AB7" w14:textId="77777777" w:rsidR="00545FA4" w:rsidRPr="009C697E" w:rsidRDefault="009C697E" w:rsidP="00545FA4">
            <w:pPr>
              <w:jc w:val="right"/>
              <w:rPr>
                <w:rFonts w:asciiTheme="minorHAnsi" w:eastAsiaTheme="minorHAnsi" w:hAnsiTheme="minorHAnsi"/>
                <w:b/>
                <w:color w:val="auto"/>
                <w:sz w:val="18"/>
                <w:szCs w:val="18"/>
                <w:lang w:val="sr-Cyrl-RS" w:eastAsia="en-US"/>
              </w:rPr>
            </w:pPr>
            <w:r>
              <w:rPr>
                <w:rFonts w:asciiTheme="minorHAnsi" w:eastAsiaTheme="minorHAnsi" w:hAnsiTheme="minorHAnsi"/>
                <w:b/>
                <w:color w:val="auto"/>
                <w:sz w:val="18"/>
                <w:szCs w:val="18"/>
                <w:lang w:val="sr-Cyrl-RS" w:eastAsia="en-US"/>
              </w:rPr>
              <w:t>4.836.290,76</w:t>
            </w:r>
          </w:p>
        </w:tc>
      </w:tr>
    </w:tbl>
    <w:p w14:paraId="65F0A15F" w14:textId="77777777" w:rsidR="00545FA4" w:rsidRPr="001C27A1" w:rsidRDefault="00545FA4" w:rsidP="00545FA4">
      <w:pPr>
        <w:spacing w:line="276" w:lineRule="auto"/>
        <w:rPr>
          <w:rFonts w:asciiTheme="minorHAnsi" w:eastAsiaTheme="minorHAnsi" w:hAnsiTheme="minorHAnsi"/>
          <w:color w:val="auto"/>
          <w:sz w:val="20"/>
          <w:szCs w:val="20"/>
          <w:lang w:val="sr-Cyrl-BA" w:eastAsia="en-US"/>
        </w:rPr>
      </w:pPr>
    </w:p>
    <w:p w14:paraId="5B6B9812"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BA" w:eastAsia="en-US"/>
        </w:rPr>
        <w:t xml:space="preserve">Одлуком о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color w:val="auto"/>
          <w:sz w:val="20"/>
          <w:szCs w:val="20"/>
          <w:lang w:val="sr-Cyrl-BA" w:eastAsia="en-US"/>
        </w:rPr>
        <w:t xml:space="preserve">Гарантном програму </w:t>
      </w:r>
      <w:r w:rsidRPr="001C27A1">
        <w:rPr>
          <w:rFonts w:asciiTheme="minorHAnsi" w:eastAsiaTheme="minorHAnsi" w:hAnsiTheme="minorHAnsi"/>
          <w:color w:val="auto"/>
          <w:sz w:val="20"/>
          <w:szCs w:val="20"/>
          <w:lang w:val="sr-Latn-BA" w:eastAsia="en-US"/>
        </w:rPr>
        <w:t xml:space="preserve"> COVID 19</w:t>
      </w:r>
      <w:r w:rsidRPr="001C27A1">
        <w:rPr>
          <w:rFonts w:asciiTheme="minorHAnsi" w:eastAsiaTheme="minorHAnsi" w:hAnsiTheme="minorHAnsi"/>
          <w:color w:val="auto"/>
          <w:sz w:val="20"/>
          <w:szCs w:val="20"/>
          <w:lang w:val="sr-Cyrl-BA" w:eastAsia="en-US"/>
        </w:rPr>
        <w:t xml:space="preserve"> је дефинисан максимални  дозвољени износ гаранције кредитног портфолија као производ стварног волумена портфолија кредита, стопе покрића (70%), стопе максималне гаранције (30%) и стопе пуштања кредита у течај.  Према стању кредита и припадајућем стању гаранција, максимални дозвољени износ гаранције, односно максимална потенцијална обавеза Владе Републике Српске на дан 31.12.2023. године </w:t>
      </w:r>
      <w:r w:rsidR="009C697E">
        <w:rPr>
          <w:rFonts w:asciiTheme="minorHAnsi" w:eastAsiaTheme="minorHAnsi" w:hAnsiTheme="minorHAnsi"/>
          <w:color w:val="auto"/>
          <w:sz w:val="20"/>
          <w:szCs w:val="20"/>
          <w:lang w:val="sr-Cyrl-BA" w:eastAsia="en-US"/>
        </w:rPr>
        <w:t xml:space="preserve">је </w:t>
      </w:r>
      <w:r w:rsidRPr="001C27A1">
        <w:rPr>
          <w:rFonts w:asciiTheme="minorHAnsi" w:eastAsiaTheme="minorHAnsi" w:hAnsiTheme="minorHAnsi"/>
          <w:color w:val="auto"/>
          <w:sz w:val="20"/>
          <w:szCs w:val="20"/>
          <w:lang w:val="sr-Cyrl-BA" w:eastAsia="en-US"/>
        </w:rPr>
        <w:t>износи</w:t>
      </w:r>
      <w:r w:rsidR="009C697E">
        <w:rPr>
          <w:rFonts w:asciiTheme="minorHAnsi" w:eastAsiaTheme="minorHAnsi" w:hAnsiTheme="minorHAnsi"/>
          <w:color w:val="auto"/>
          <w:sz w:val="20"/>
          <w:szCs w:val="20"/>
          <w:lang w:val="sr-Cyrl-BA" w:eastAsia="en-US"/>
        </w:rPr>
        <w:t>ла</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Cyrl-RS" w:eastAsia="en-US"/>
        </w:rPr>
        <w:t>4.836.290,80</w:t>
      </w:r>
      <w:r w:rsidRPr="001C27A1">
        <w:rPr>
          <w:rFonts w:asciiTheme="minorHAnsi" w:eastAsiaTheme="minorHAnsi" w:hAnsiTheme="minorHAnsi"/>
          <w:color w:val="auto"/>
          <w:sz w:val="20"/>
          <w:szCs w:val="20"/>
          <w:lang w:val="sr-Cyrl-BA" w:eastAsia="en-US"/>
        </w:rPr>
        <w:t xml:space="preserve"> КМ.</w:t>
      </w:r>
    </w:p>
    <w:p w14:paraId="49B5CD38" w14:textId="77777777" w:rsidR="001538EF" w:rsidRPr="001C27A1" w:rsidRDefault="001538EF" w:rsidP="001538EF">
      <w:pPr>
        <w:jc w:val="right"/>
        <w:rPr>
          <w:rFonts w:asciiTheme="minorHAnsi" w:hAnsiTheme="minorHAnsi"/>
          <w:sz w:val="20"/>
          <w:szCs w:val="20"/>
          <w:lang w:val="sr-Cyrl-BA"/>
        </w:rPr>
      </w:pPr>
    </w:p>
    <w:p w14:paraId="5E8EBFA6" w14:textId="77777777" w:rsidR="001538EF" w:rsidRPr="001C27A1" w:rsidRDefault="001538EF" w:rsidP="001538EF">
      <w:pPr>
        <w:spacing w:line="276" w:lineRule="auto"/>
        <w:jc w:val="center"/>
        <w:rPr>
          <w:rFonts w:asciiTheme="minorHAnsi" w:eastAsiaTheme="minorHAnsi" w:hAnsiTheme="minorHAnsi"/>
          <w:b/>
          <w:color w:val="auto"/>
          <w:sz w:val="20"/>
          <w:szCs w:val="20"/>
          <w:lang w:val="sr-Cyrl-RS" w:eastAsia="en-US"/>
        </w:rPr>
      </w:pPr>
    </w:p>
    <w:p w14:paraId="255B2922" w14:textId="77777777" w:rsidR="001538EF" w:rsidRPr="001C27A1" w:rsidRDefault="001538EF" w:rsidP="001538EF">
      <w:pPr>
        <w:spacing w:after="200" w:line="276" w:lineRule="auto"/>
        <w:jc w:val="left"/>
        <w:rPr>
          <w:rFonts w:asciiTheme="minorHAnsi" w:hAnsiTheme="minorHAnsi"/>
          <w:b/>
          <w:sz w:val="20"/>
          <w:szCs w:val="20"/>
          <w:lang w:val="sr-Cyrl-CS" w:eastAsia="sr-Cyrl-CS"/>
        </w:rPr>
      </w:pPr>
      <w:r w:rsidRPr="001C27A1">
        <w:rPr>
          <w:rFonts w:asciiTheme="minorHAnsi" w:hAnsiTheme="minorHAnsi"/>
          <w:b/>
          <w:sz w:val="20"/>
          <w:szCs w:val="20"/>
          <w:lang w:val="sr-Cyrl-CS" w:eastAsia="sr-Cyrl-CS"/>
        </w:rPr>
        <w:br w:type="page"/>
      </w:r>
    </w:p>
    <w:p w14:paraId="3545D16C" w14:textId="77777777" w:rsidR="001538EF" w:rsidRPr="005767EF" w:rsidRDefault="001538EF" w:rsidP="001538EF">
      <w:pPr>
        <w:rPr>
          <w:rFonts w:asciiTheme="minorHAnsi" w:hAnsiTheme="minorHAnsi"/>
          <w:b/>
          <w:sz w:val="20"/>
          <w:szCs w:val="20"/>
          <w:lang w:val="sr-Cyrl-CS" w:eastAsia="sr-Cyrl-CS"/>
        </w:rPr>
      </w:pPr>
    </w:p>
    <w:p w14:paraId="527FEE6E" w14:textId="77777777" w:rsidR="001538EF" w:rsidRPr="00EE16CE" w:rsidRDefault="00E84021" w:rsidP="00E84021">
      <w:pPr>
        <w:pStyle w:val="Heading1"/>
        <w:numPr>
          <w:ilvl w:val="0"/>
          <w:numId w:val="0"/>
        </w:numPr>
        <w:ind w:left="431" w:hanging="431"/>
        <w:rPr>
          <w:rFonts w:asciiTheme="minorHAnsi" w:hAnsiTheme="minorHAnsi"/>
          <w:lang w:val="sr-Cyrl-RS"/>
        </w:rPr>
      </w:pPr>
      <w:bookmarkStart w:id="11" w:name="_Toc135292174"/>
      <w:r>
        <w:rPr>
          <w:rFonts w:asciiTheme="minorHAnsi" w:hAnsiTheme="minorHAnsi"/>
          <w:lang w:val="sr-Cyrl-RS"/>
        </w:rPr>
        <w:t xml:space="preserve">3. </w:t>
      </w:r>
      <w:r w:rsidR="001538EF" w:rsidRPr="005767EF">
        <w:rPr>
          <w:rFonts w:asciiTheme="minorHAnsi" w:hAnsiTheme="minorHAnsi"/>
        </w:rPr>
        <w:t xml:space="preserve">АНАЛИЗА </w:t>
      </w:r>
      <w:r w:rsidR="001538EF" w:rsidRPr="005767EF">
        <w:rPr>
          <w:rFonts w:asciiTheme="minorHAnsi" w:hAnsiTheme="minorHAnsi"/>
          <w:lang w:val="sr-Cyrl-BA"/>
        </w:rPr>
        <w:t>ФИНАНСИЈСКОГ РЕЗУЛТАТА</w:t>
      </w:r>
      <w:r w:rsidR="001538EF" w:rsidRPr="005767EF">
        <w:rPr>
          <w:rFonts w:asciiTheme="minorHAnsi" w:hAnsiTheme="minorHAnsi"/>
        </w:rPr>
        <w:t xml:space="preserve"> </w:t>
      </w:r>
      <w:r w:rsidR="00EE16CE">
        <w:rPr>
          <w:rFonts w:asciiTheme="minorHAnsi" w:hAnsiTheme="minorHAnsi"/>
          <w:lang w:val="sr-Cyrl-RS"/>
        </w:rPr>
        <w:t>У</w:t>
      </w:r>
      <w:r w:rsidR="001538EF" w:rsidRPr="005767EF">
        <w:rPr>
          <w:rFonts w:asciiTheme="minorHAnsi" w:hAnsiTheme="minorHAnsi"/>
        </w:rPr>
        <w:t xml:space="preserve"> 202</w:t>
      </w:r>
      <w:r w:rsidR="0070222F" w:rsidRPr="005767EF">
        <w:rPr>
          <w:rFonts w:asciiTheme="minorHAnsi" w:hAnsiTheme="minorHAnsi"/>
          <w:lang w:val="bs-Latn-BA"/>
        </w:rPr>
        <w:t>3</w:t>
      </w:r>
      <w:r w:rsidR="001538EF" w:rsidRPr="005767EF">
        <w:rPr>
          <w:rFonts w:asciiTheme="minorHAnsi" w:hAnsiTheme="minorHAnsi"/>
        </w:rPr>
        <w:t>.</w:t>
      </w:r>
      <w:r w:rsidR="0070222F" w:rsidRPr="005767EF">
        <w:rPr>
          <w:rFonts w:asciiTheme="minorHAnsi" w:hAnsiTheme="minorHAnsi"/>
          <w:lang w:val="bs-Latn-BA"/>
        </w:rPr>
        <w:t xml:space="preserve"> </w:t>
      </w:r>
      <w:r w:rsidR="001538EF" w:rsidRPr="005767EF">
        <w:rPr>
          <w:rFonts w:asciiTheme="minorHAnsi" w:hAnsiTheme="minorHAnsi"/>
        </w:rPr>
        <w:t>ГОДИН</w:t>
      </w:r>
      <w:bookmarkEnd w:id="11"/>
      <w:r w:rsidR="00EE16CE">
        <w:rPr>
          <w:rFonts w:asciiTheme="minorHAnsi" w:hAnsiTheme="minorHAnsi"/>
          <w:lang w:val="sr-Cyrl-RS"/>
        </w:rPr>
        <w:t>И</w:t>
      </w:r>
    </w:p>
    <w:p w14:paraId="10EAD5C5" w14:textId="77777777" w:rsidR="001538EF" w:rsidRPr="00EE16CE" w:rsidRDefault="00E84021" w:rsidP="00E84021">
      <w:pPr>
        <w:pStyle w:val="Heading2"/>
        <w:numPr>
          <w:ilvl w:val="0"/>
          <w:numId w:val="0"/>
        </w:numPr>
        <w:rPr>
          <w:rFonts w:asciiTheme="minorHAnsi" w:hAnsiTheme="minorHAnsi"/>
          <w:szCs w:val="20"/>
          <w:lang w:val="sr-Cyrl-RS"/>
        </w:rPr>
      </w:pPr>
      <w:bookmarkStart w:id="12" w:name="_Toc135292175"/>
      <w:r>
        <w:rPr>
          <w:rFonts w:asciiTheme="minorHAnsi" w:hAnsiTheme="minorHAnsi"/>
          <w:szCs w:val="20"/>
          <w:lang w:val="sr-Cyrl-RS"/>
        </w:rPr>
        <w:t xml:space="preserve">3.1. </w:t>
      </w:r>
      <w:r w:rsidR="001538EF" w:rsidRPr="005767EF">
        <w:rPr>
          <w:rFonts w:asciiTheme="minorHAnsi" w:hAnsiTheme="minorHAnsi"/>
          <w:szCs w:val="20"/>
        </w:rPr>
        <w:t xml:space="preserve">АНАЛИЗА ОСТВАРЕНИХ ПРИХОДА </w:t>
      </w:r>
      <w:r w:rsidR="00EE16CE">
        <w:rPr>
          <w:rFonts w:asciiTheme="minorHAnsi" w:hAnsiTheme="minorHAnsi"/>
          <w:szCs w:val="20"/>
          <w:lang w:val="sr-Cyrl-RS"/>
        </w:rPr>
        <w:t>У</w:t>
      </w:r>
      <w:r w:rsidR="001538EF" w:rsidRPr="005767EF">
        <w:rPr>
          <w:rFonts w:asciiTheme="minorHAnsi" w:hAnsiTheme="minorHAnsi"/>
          <w:szCs w:val="20"/>
        </w:rPr>
        <w:t xml:space="preserve"> 202</w:t>
      </w:r>
      <w:r w:rsidR="0070222F" w:rsidRPr="005767EF">
        <w:rPr>
          <w:rFonts w:asciiTheme="minorHAnsi" w:hAnsiTheme="minorHAnsi"/>
          <w:szCs w:val="20"/>
          <w:lang w:val="bs-Latn-BA"/>
        </w:rPr>
        <w:t>3</w:t>
      </w:r>
      <w:r w:rsidR="001538EF" w:rsidRPr="005767EF">
        <w:rPr>
          <w:rFonts w:asciiTheme="minorHAnsi" w:hAnsiTheme="minorHAnsi"/>
          <w:szCs w:val="20"/>
        </w:rPr>
        <w:t>.</w:t>
      </w:r>
      <w:r w:rsidR="0070222F" w:rsidRPr="005767EF">
        <w:rPr>
          <w:rFonts w:asciiTheme="minorHAnsi" w:hAnsiTheme="minorHAnsi"/>
          <w:szCs w:val="20"/>
          <w:lang w:val="bs-Latn-BA"/>
        </w:rPr>
        <w:t xml:space="preserve"> </w:t>
      </w:r>
      <w:r w:rsidR="001538EF" w:rsidRPr="005767EF">
        <w:rPr>
          <w:rFonts w:asciiTheme="minorHAnsi" w:hAnsiTheme="minorHAnsi"/>
          <w:szCs w:val="20"/>
        </w:rPr>
        <w:t>ГОДИН</w:t>
      </w:r>
      <w:bookmarkEnd w:id="12"/>
      <w:r w:rsidR="00EE16CE">
        <w:rPr>
          <w:rFonts w:asciiTheme="minorHAnsi" w:hAnsiTheme="minorHAnsi"/>
          <w:szCs w:val="20"/>
          <w:lang w:val="sr-Cyrl-RS"/>
        </w:rPr>
        <w:t>И</w:t>
      </w:r>
    </w:p>
    <w:p w14:paraId="1C1797F2" w14:textId="77777777" w:rsidR="001538EF" w:rsidRPr="005767EF" w:rsidRDefault="001538EF" w:rsidP="001538EF">
      <w:pPr>
        <w:rPr>
          <w:rFonts w:asciiTheme="minorHAnsi" w:hAnsiTheme="minorHAnsi"/>
          <w:color w:val="auto"/>
          <w:sz w:val="20"/>
          <w:szCs w:val="20"/>
          <w:lang w:val="sr-Cyrl-CS" w:eastAsia="sr-Cyrl-CS"/>
        </w:rPr>
      </w:pPr>
    </w:p>
    <w:p w14:paraId="502CED4A" w14:textId="77777777" w:rsidR="001538EF" w:rsidRPr="005767EF" w:rsidRDefault="001538EF" w:rsidP="001538EF">
      <w:pPr>
        <w:ind w:left="708"/>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остварених прихода у 202</w:t>
      </w:r>
      <w:r w:rsidR="0070222F" w:rsidRPr="005767EF">
        <w:rPr>
          <w:rFonts w:asciiTheme="minorHAnsi" w:hAnsiTheme="minorHAnsi"/>
          <w:b/>
          <w:sz w:val="20"/>
          <w:szCs w:val="20"/>
          <w:lang w:eastAsia="sr-Cyrl-CS"/>
        </w:rPr>
        <w:t>3</w:t>
      </w:r>
      <w:r w:rsidRPr="005767EF">
        <w:rPr>
          <w:rFonts w:asciiTheme="minorHAnsi" w:hAnsiTheme="minorHAnsi"/>
          <w:b/>
          <w:sz w:val="20"/>
          <w:szCs w:val="20"/>
          <w:lang w:val="sr-Cyrl-CS" w:eastAsia="sr-Cyrl-CS"/>
        </w:rPr>
        <w:t>. години</w:t>
      </w:r>
    </w:p>
    <w:p w14:paraId="66980992" w14:textId="77777777" w:rsidR="001538EF" w:rsidRPr="005767EF" w:rsidRDefault="001538EF" w:rsidP="001538EF">
      <w:pPr>
        <w:ind w:left="708"/>
        <w:jc w:val="center"/>
        <w:rPr>
          <w:rFonts w:asciiTheme="minorHAnsi" w:hAnsiTheme="minorHAnsi"/>
          <w:b/>
          <w:sz w:val="20"/>
          <w:szCs w:val="20"/>
          <w:lang w:val="sr-Cyrl-CS" w:eastAsia="sr-Cyrl-CS"/>
        </w:rPr>
      </w:pPr>
    </w:p>
    <w:p w14:paraId="71B41023" w14:textId="77777777" w:rsidR="007377DB" w:rsidRPr="007377DB" w:rsidRDefault="00DC72FE" w:rsidP="007377DB">
      <w:pPr>
        <w:ind w:left="6381" w:firstLine="709"/>
        <w:rPr>
          <w:rFonts w:asciiTheme="minorHAnsi" w:hAnsiTheme="minorHAnsi"/>
          <w:b/>
          <w:sz w:val="20"/>
          <w:szCs w:val="20"/>
          <w:lang w:eastAsia="sr-Cyrl-CS"/>
        </w:rPr>
      </w:pPr>
      <w:r>
        <w:rPr>
          <w:rFonts w:asciiTheme="minorHAnsi" w:hAnsiTheme="minorHAnsi"/>
          <w:b/>
          <w:sz w:val="20"/>
          <w:szCs w:val="20"/>
          <w:lang w:val="sr-Cyrl-BA" w:eastAsia="sr-Cyrl-CS"/>
        </w:rPr>
        <w:t xml:space="preserve">             </w:t>
      </w:r>
      <w:r>
        <w:rPr>
          <w:rFonts w:asciiTheme="minorHAnsi" w:hAnsiTheme="minorHAnsi"/>
          <w:b/>
          <w:sz w:val="20"/>
          <w:szCs w:val="20"/>
          <w:lang w:eastAsia="sr-Cyrl-CS"/>
        </w:rPr>
        <w:t xml:space="preserve"> </w:t>
      </w:r>
      <w:r>
        <w:rPr>
          <w:rFonts w:asciiTheme="minorHAnsi" w:hAnsiTheme="minorHAnsi"/>
          <w:b/>
          <w:sz w:val="20"/>
          <w:szCs w:val="20"/>
          <w:lang w:val="sr-Cyrl-BA" w:eastAsia="sr-Cyrl-CS"/>
        </w:rPr>
        <w:t xml:space="preserve">    Табела </w:t>
      </w:r>
      <w:r>
        <w:rPr>
          <w:rFonts w:asciiTheme="minorHAnsi" w:hAnsiTheme="minorHAnsi"/>
          <w:b/>
          <w:sz w:val="20"/>
          <w:szCs w:val="20"/>
          <w:lang w:eastAsia="sr-Cyrl-CS"/>
        </w:rPr>
        <w:t>22</w:t>
      </w:r>
      <w:r w:rsidR="007377DB">
        <w:rPr>
          <w:lang w:val="sr-Cyrl-CS" w:eastAsia="sr-Cyrl-CS"/>
        </w:rPr>
        <w:fldChar w:fldCharType="begin"/>
      </w:r>
      <w:r w:rsidR="007377DB">
        <w:rPr>
          <w:lang w:val="sr-Cyrl-CS" w:eastAsia="sr-Cyrl-CS"/>
        </w:rPr>
        <w:instrText xml:space="preserve"> LINK Excel.Sheet.12 "\\\\garfond.int\\Data\\Users\\radana.lukic\\Documents\\Tabele za izvještaj-analiza finansijskog rezultata.xlsx" "Sheet1!R2C2:R18C6" \a \f 4 \h  \* MERGEFORMAT </w:instrText>
      </w:r>
      <w:r w:rsidR="007377DB">
        <w:rPr>
          <w:lang w:val="sr-Cyrl-CS" w:eastAsia="sr-Cyrl-CS"/>
        </w:rPr>
        <w:fldChar w:fldCharType="separate"/>
      </w:r>
    </w:p>
    <w:tbl>
      <w:tblPr>
        <w:tblW w:w="8789" w:type="dxa"/>
        <w:tblInd w:w="108" w:type="dxa"/>
        <w:tblLook w:val="04A0" w:firstRow="1" w:lastRow="0" w:firstColumn="1" w:lastColumn="0" w:noHBand="0" w:noVBand="1"/>
      </w:tblPr>
      <w:tblGrid>
        <w:gridCol w:w="3828"/>
        <w:gridCol w:w="1287"/>
        <w:gridCol w:w="1406"/>
        <w:gridCol w:w="1134"/>
        <w:gridCol w:w="1134"/>
      </w:tblGrid>
      <w:tr w:rsidR="007377DB" w:rsidRPr="007377DB" w14:paraId="1D6D6E0D" w14:textId="77777777" w:rsidTr="007377DB">
        <w:trPr>
          <w:trHeight w:val="517"/>
        </w:trPr>
        <w:tc>
          <w:tcPr>
            <w:tcW w:w="3828" w:type="dxa"/>
            <w:vMerge w:val="restart"/>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23DBF059"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Latn-RS"/>
              </w:rPr>
              <w:t>Врста прихода</w:t>
            </w:r>
          </w:p>
        </w:tc>
        <w:tc>
          <w:tcPr>
            <w:tcW w:w="1287" w:type="dxa"/>
            <w:vMerge w:val="restart"/>
            <w:tcBorders>
              <w:top w:val="single" w:sz="4" w:space="0" w:color="auto"/>
              <w:left w:val="single" w:sz="4" w:space="0" w:color="auto"/>
              <w:bottom w:val="single" w:sz="4" w:space="0" w:color="000000"/>
              <w:right w:val="single" w:sz="4" w:space="0" w:color="auto"/>
            </w:tcBorders>
            <w:shd w:val="clear" w:color="000000" w:fill="8DB4E2"/>
            <w:vAlign w:val="center"/>
            <w:hideMark/>
          </w:tcPr>
          <w:p w14:paraId="47A053E2"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Latn-RS"/>
              </w:rPr>
              <w:t>Планирано у 2023. години</w:t>
            </w:r>
          </w:p>
        </w:tc>
        <w:tc>
          <w:tcPr>
            <w:tcW w:w="1406" w:type="dxa"/>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6CBEDEDD"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Latn-RS"/>
              </w:rPr>
              <w:t>Остварено  у 2023. години</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8DB4E2"/>
            <w:noWrap/>
            <w:vAlign w:val="center"/>
            <w:hideMark/>
          </w:tcPr>
          <w:p w14:paraId="7178B559"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Latn-RS"/>
              </w:rPr>
              <w:t>Индекс</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8DB4E2"/>
            <w:vAlign w:val="center"/>
            <w:hideMark/>
          </w:tcPr>
          <w:p w14:paraId="3ED21B48"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RS"/>
              </w:rPr>
              <w:t>Структура прихода</w:t>
            </w:r>
          </w:p>
        </w:tc>
      </w:tr>
      <w:tr w:rsidR="007377DB" w:rsidRPr="007377DB" w14:paraId="3013E8F4" w14:textId="77777777" w:rsidTr="007377DB">
        <w:trPr>
          <w:trHeight w:val="517"/>
        </w:trPr>
        <w:tc>
          <w:tcPr>
            <w:tcW w:w="3828" w:type="dxa"/>
            <w:vMerge/>
            <w:tcBorders>
              <w:top w:val="single" w:sz="4" w:space="0" w:color="auto"/>
              <w:left w:val="single" w:sz="4" w:space="0" w:color="auto"/>
              <w:bottom w:val="single" w:sz="4" w:space="0" w:color="auto"/>
              <w:right w:val="single" w:sz="4" w:space="0" w:color="auto"/>
            </w:tcBorders>
            <w:vAlign w:val="center"/>
            <w:hideMark/>
          </w:tcPr>
          <w:p w14:paraId="0A23BAD9" w14:textId="77777777" w:rsidR="007377DB" w:rsidRPr="007377DB" w:rsidRDefault="007377DB" w:rsidP="007377DB">
            <w:pPr>
              <w:jc w:val="left"/>
              <w:rPr>
                <w:rFonts w:ascii="Calibri" w:hAnsi="Calibri"/>
                <w:b/>
                <w:bCs/>
                <w:sz w:val="20"/>
                <w:szCs w:val="20"/>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14:paraId="17C3CD4F" w14:textId="77777777" w:rsidR="007377DB" w:rsidRPr="007377DB" w:rsidRDefault="007377DB" w:rsidP="007377DB">
            <w:pPr>
              <w:jc w:val="left"/>
              <w:rPr>
                <w:rFonts w:ascii="Calibri" w:hAnsi="Calibri"/>
                <w:b/>
                <w:bCs/>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14:paraId="4DA80533"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1DC4387"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A176F41" w14:textId="77777777" w:rsidR="007377DB" w:rsidRPr="007377DB" w:rsidRDefault="007377DB" w:rsidP="007377DB">
            <w:pPr>
              <w:jc w:val="left"/>
              <w:rPr>
                <w:rFonts w:ascii="Calibri" w:hAnsi="Calibri"/>
                <w:b/>
                <w:bCs/>
                <w:sz w:val="20"/>
                <w:szCs w:val="20"/>
              </w:rPr>
            </w:pPr>
          </w:p>
        </w:tc>
      </w:tr>
      <w:tr w:rsidR="007377DB" w:rsidRPr="007377DB" w14:paraId="2CE82A7C" w14:textId="77777777" w:rsidTr="007377DB">
        <w:trPr>
          <w:trHeight w:val="517"/>
        </w:trPr>
        <w:tc>
          <w:tcPr>
            <w:tcW w:w="3828" w:type="dxa"/>
            <w:vMerge/>
            <w:tcBorders>
              <w:top w:val="single" w:sz="4" w:space="0" w:color="auto"/>
              <w:left w:val="single" w:sz="4" w:space="0" w:color="auto"/>
              <w:bottom w:val="single" w:sz="4" w:space="0" w:color="auto"/>
              <w:right w:val="single" w:sz="4" w:space="0" w:color="auto"/>
            </w:tcBorders>
            <w:vAlign w:val="center"/>
            <w:hideMark/>
          </w:tcPr>
          <w:p w14:paraId="06DCB867" w14:textId="77777777" w:rsidR="007377DB" w:rsidRPr="007377DB" w:rsidRDefault="007377DB" w:rsidP="007377DB">
            <w:pPr>
              <w:jc w:val="left"/>
              <w:rPr>
                <w:rFonts w:ascii="Calibri" w:hAnsi="Calibri"/>
                <w:b/>
                <w:bCs/>
                <w:sz w:val="20"/>
                <w:szCs w:val="20"/>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14:paraId="5C9B0023" w14:textId="77777777" w:rsidR="007377DB" w:rsidRPr="007377DB" w:rsidRDefault="007377DB" w:rsidP="007377DB">
            <w:pPr>
              <w:jc w:val="left"/>
              <w:rPr>
                <w:rFonts w:ascii="Calibri" w:hAnsi="Calibri"/>
                <w:b/>
                <w:bCs/>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14:paraId="41612BD0"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7DA9005"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6D3F845" w14:textId="77777777" w:rsidR="007377DB" w:rsidRPr="007377DB" w:rsidRDefault="007377DB" w:rsidP="007377DB">
            <w:pPr>
              <w:jc w:val="left"/>
              <w:rPr>
                <w:rFonts w:ascii="Calibri" w:hAnsi="Calibri"/>
                <w:b/>
                <w:bCs/>
                <w:sz w:val="20"/>
                <w:szCs w:val="20"/>
              </w:rPr>
            </w:pPr>
          </w:p>
        </w:tc>
      </w:tr>
      <w:tr w:rsidR="007377DB" w:rsidRPr="007377DB" w14:paraId="5760C810"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1B2B275"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RS"/>
              </w:rPr>
              <w:t>1</w:t>
            </w:r>
          </w:p>
        </w:tc>
        <w:tc>
          <w:tcPr>
            <w:tcW w:w="1287" w:type="dxa"/>
            <w:tcBorders>
              <w:top w:val="nil"/>
              <w:left w:val="nil"/>
              <w:bottom w:val="single" w:sz="4" w:space="0" w:color="auto"/>
              <w:right w:val="single" w:sz="4" w:space="0" w:color="auto"/>
            </w:tcBorders>
            <w:shd w:val="clear" w:color="auto" w:fill="auto"/>
            <w:noWrap/>
            <w:vAlign w:val="center"/>
            <w:hideMark/>
          </w:tcPr>
          <w:p w14:paraId="1F75236C"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RS"/>
              </w:rPr>
              <w:t>2</w:t>
            </w:r>
          </w:p>
        </w:tc>
        <w:tc>
          <w:tcPr>
            <w:tcW w:w="1406" w:type="dxa"/>
            <w:tcBorders>
              <w:top w:val="nil"/>
              <w:left w:val="nil"/>
              <w:bottom w:val="single" w:sz="4" w:space="0" w:color="auto"/>
              <w:right w:val="single" w:sz="4" w:space="0" w:color="auto"/>
            </w:tcBorders>
            <w:shd w:val="clear" w:color="auto" w:fill="auto"/>
            <w:noWrap/>
            <w:vAlign w:val="center"/>
            <w:hideMark/>
          </w:tcPr>
          <w:p w14:paraId="6BDCB5CE"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RS"/>
              </w:rPr>
              <w:t>3</w:t>
            </w:r>
          </w:p>
        </w:tc>
        <w:tc>
          <w:tcPr>
            <w:tcW w:w="1134" w:type="dxa"/>
            <w:tcBorders>
              <w:top w:val="nil"/>
              <w:left w:val="nil"/>
              <w:bottom w:val="single" w:sz="4" w:space="0" w:color="auto"/>
              <w:right w:val="single" w:sz="4" w:space="0" w:color="auto"/>
            </w:tcBorders>
            <w:shd w:val="clear" w:color="auto" w:fill="auto"/>
            <w:noWrap/>
            <w:vAlign w:val="center"/>
            <w:hideMark/>
          </w:tcPr>
          <w:p w14:paraId="0D379C4C"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BA"/>
              </w:rPr>
              <w:t>4=3/2</w:t>
            </w:r>
          </w:p>
        </w:tc>
        <w:tc>
          <w:tcPr>
            <w:tcW w:w="1134" w:type="dxa"/>
            <w:tcBorders>
              <w:top w:val="nil"/>
              <w:left w:val="nil"/>
              <w:bottom w:val="single" w:sz="4" w:space="0" w:color="auto"/>
              <w:right w:val="single" w:sz="4" w:space="0" w:color="auto"/>
            </w:tcBorders>
            <w:shd w:val="clear" w:color="auto" w:fill="auto"/>
            <w:vAlign w:val="center"/>
            <w:hideMark/>
          </w:tcPr>
          <w:p w14:paraId="2973B7D9"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lang w:val="sr-Cyrl-BA"/>
              </w:rPr>
              <w:t>5</w:t>
            </w:r>
          </w:p>
        </w:tc>
      </w:tr>
      <w:tr w:rsidR="007377DB" w:rsidRPr="007377DB" w14:paraId="7DBA0FA2"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36E7EB8C" w14:textId="77777777" w:rsidR="007377DB" w:rsidRPr="007377DB" w:rsidRDefault="007377DB" w:rsidP="007377DB">
            <w:pPr>
              <w:jc w:val="left"/>
              <w:rPr>
                <w:rFonts w:ascii="Calibri" w:hAnsi="Calibri"/>
                <w:b/>
                <w:bCs/>
                <w:sz w:val="20"/>
                <w:szCs w:val="20"/>
              </w:rPr>
            </w:pPr>
            <w:r w:rsidRPr="007377DB">
              <w:rPr>
                <w:rFonts w:ascii="Calibri" w:hAnsi="Calibri"/>
                <w:b/>
                <w:bCs/>
                <w:sz w:val="20"/>
                <w:szCs w:val="20"/>
              </w:rPr>
              <w:t>Приходи од камата</w:t>
            </w:r>
          </w:p>
        </w:tc>
        <w:tc>
          <w:tcPr>
            <w:tcW w:w="1287" w:type="dxa"/>
            <w:tcBorders>
              <w:top w:val="nil"/>
              <w:left w:val="nil"/>
              <w:bottom w:val="single" w:sz="4" w:space="0" w:color="auto"/>
              <w:right w:val="single" w:sz="4" w:space="0" w:color="auto"/>
            </w:tcBorders>
            <w:shd w:val="clear" w:color="auto" w:fill="auto"/>
            <w:noWrap/>
            <w:vAlign w:val="center"/>
            <w:hideMark/>
          </w:tcPr>
          <w:p w14:paraId="7A443C9D"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678.000,00</w:t>
            </w:r>
          </w:p>
        </w:tc>
        <w:tc>
          <w:tcPr>
            <w:tcW w:w="1406" w:type="dxa"/>
            <w:tcBorders>
              <w:top w:val="nil"/>
              <w:left w:val="nil"/>
              <w:bottom w:val="single" w:sz="4" w:space="0" w:color="auto"/>
              <w:right w:val="single" w:sz="4" w:space="0" w:color="auto"/>
            </w:tcBorders>
            <w:shd w:val="clear" w:color="auto" w:fill="auto"/>
            <w:noWrap/>
            <w:vAlign w:val="center"/>
            <w:hideMark/>
          </w:tcPr>
          <w:p w14:paraId="26D63C50"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478.325,78</w:t>
            </w:r>
          </w:p>
        </w:tc>
        <w:tc>
          <w:tcPr>
            <w:tcW w:w="1134" w:type="dxa"/>
            <w:tcBorders>
              <w:top w:val="nil"/>
              <w:left w:val="nil"/>
              <w:bottom w:val="single" w:sz="4" w:space="0" w:color="auto"/>
              <w:right w:val="single" w:sz="4" w:space="0" w:color="auto"/>
            </w:tcBorders>
            <w:shd w:val="clear" w:color="auto" w:fill="auto"/>
            <w:noWrap/>
            <w:vAlign w:val="center"/>
            <w:hideMark/>
          </w:tcPr>
          <w:p w14:paraId="03D4847C"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70,55</w:t>
            </w:r>
          </w:p>
        </w:tc>
        <w:tc>
          <w:tcPr>
            <w:tcW w:w="1134" w:type="dxa"/>
            <w:tcBorders>
              <w:top w:val="nil"/>
              <w:left w:val="nil"/>
              <w:bottom w:val="single" w:sz="4" w:space="0" w:color="auto"/>
              <w:right w:val="single" w:sz="4" w:space="0" w:color="auto"/>
            </w:tcBorders>
            <w:shd w:val="clear" w:color="auto" w:fill="auto"/>
            <w:vAlign w:val="center"/>
            <w:hideMark/>
          </w:tcPr>
          <w:p w14:paraId="0AEB3E1A"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37,48%</w:t>
            </w:r>
          </w:p>
        </w:tc>
      </w:tr>
      <w:tr w:rsidR="007377DB" w:rsidRPr="007377DB" w14:paraId="45745C8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5F6AFC9" w14:textId="77777777" w:rsidR="007377DB" w:rsidRPr="007377DB" w:rsidRDefault="007377DB" w:rsidP="007377DB">
            <w:pPr>
              <w:rPr>
                <w:rFonts w:ascii="Calibri" w:hAnsi="Calibri"/>
                <w:sz w:val="20"/>
                <w:szCs w:val="20"/>
              </w:rPr>
            </w:pPr>
            <w:r w:rsidRPr="007377DB">
              <w:rPr>
                <w:rFonts w:ascii="Calibri" w:hAnsi="Calibri"/>
                <w:sz w:val="20"/>
                <w:szCs w:val="20"/>
                <w:lang w:val="sr-Latn-RS"/>
              </w:rPr>
              <w:t>Приход од затезних камата</w:t>
            </w:r>
          </w:p>
        </w:tc>
        <w:tc>
          <w:tcPr>
            <w:tcW w:w="1287" w:type="dxa"/>
            <w:tcBorders>
              <w:top w:val="nil"/>
              <w:left w:val="nil"/>
              <w:bottom w:val="single" w:sz="4" w:space="0" w:color="auto"/>
              <w:right w:val="single" w:sz="4" w:space="0" w:color="auto"/>
            </w:tcBorders>
            <w:shd w:val="clear" w:color="auto" w:fill="auto"/>
            <w:noWrap/>
            <w:vAlign w:val="center"/>
            <w:hideMark/>
          </w:tcPr>
          <w:p w14:paraId="43C2AEA0"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75.000,00</w:t>
            </w:r>
          </w:p>
        </w:tc>
        <w:tc>
          <w:tcPr>
            <w:tcW w:w="1406" w:type="dxa"/>
            <w:tcBorders>
              <w:top w:val="nil"/>
              <w:left w:val="nil"/>
              <w:bottom w:val="single" w:sz="4" w:space="0" w:color="auto"/>
              <w:right w:val="single" w:sz="4" w:space="0" w:color="auto"/>
            </w:tcBorders>
            <w:shd w:val="clear" w:color="auto" w:fill="auto"/>
            <w:noWrap/>
            <w:vAlign w:val="center"/>
            <w:hideMark/>
          </w:tcPr>
          <w:p w14:paraId="1EB20C97" w14:textId="77777777" w:rsidR="007377DB" w:rsidRPr="007377DB" w:rsidRDefault="007377DB" w:rsidP="007377DB">
            <w:pPr>
              <w:jc w:val="right"/>
              <w:rPr>
                <w:rFonts w:ascii="Calibri" w:hAnsi="Calibri"/>
                <w:sz w:val="20"/>
                <w:szCs w:val="20"/>
              </w:rPr>
            </w:pPr>
            <w:r w:rsidRPr="007377DB">
              <w:rPr>
                <w:rFonts w:ascii="Calibri" w:hAnsi="Calibri"/>
                <w:sz w:val="20"/>
                <w:szCs w:val="20"/>
              </w:rPr>
              <w:t>19.206,16</w:t>
            </w:r>
          </w:p>
        </w:tc>
        <w:tc>
          <w:tcPr>
            <w:tcW w:w="1134" w:type="dxa"/>
            <w:tcBorders>
              <w:top w:val="nil"/>
              <w:left w:val="nil"/>
              <w:bottom w:val="single" w:sz="4" w:space="0" w:color="auto"/>
              <w:right w:val="single" w:sz="4" w:space="0" w:color="auto"/>
            </w:tcBorders>
            <w:shd w:val="clear" w:color="auto" w:fill="auto"/>
            <w:noWrap/>
            <w:vAlign w:val="center"/>
            <w:hideMark/>
          </w:tcPr>
          <w:p w14:paraId="2F99B5E1" w14:textId="77777777" w:rsidR="007377DB" w:rsidRPr="007377DB" w:rsidRDefault="007377DB" w:rsidP="007377DB">
            <w:pPr>
              <w:jc w:val="right"/>
              <w:rPr>
                <w:rFonts w:ascii="Calibri" w:hAnsi="Calibri"/>
                <w:sz w:val="20"/>
                <w:szCs w:val="20"/>
              </w:rPr>
            </w:pPr>
            <w:r w:rsidRPr="007377DB">
              <w:rPr>
                <w:rFonts w:ascii="Calibri" w:hAnsi="Calibri"/>
                <w:sz w:val="20"/>
                <w:szCs w:val="20"/>
              </w:rPr>
              <w:t>25,61</w:t>
            </w:r>
          </w:p>
        </w:tc>
        <w:tc>
          <w:tcPr>
            <w:tcW w:w="1134" w:type="dxa"/>
            <w:tcBorders>
              <w:top w:val="nil"/>
              <w:left w:val="nil"/>
              <w:bottom w:val="single" w:sz="4" w:space="0" w:color="auto"/>
              <w:right w:val="single" w:sz="4" w:space="0" w:color="auto"/>
            </w:tcBorders>
            <w:shd w:val="clear" w:color="auto" w:fill="auto"/>
            <w:vAlign w:val="center"/>
            <w:hideMark/>
          </w:tcPr>
          <w:p w14:paraId="36E334FB" w14:textId="77777777" w:rsidR="007377DB" w:rsidRPr="007377DB" w:rsidRDefault="007377DB" w:rsidP="007377DB">
            <w:pPr>
              <w:jc w:val="right"/>
              <w:rPr>
                <w:rFonts w:ascii="Calibri" w:hAnsi="Calibri"/>
                <w:sz w:val="20"/>
                <w:szCs w:val="20"/>
              </w:rPr>
            </w:pPr>
            <w:r w:rsidRPr="007377DB">
              <w:rPr>
                <w:rFonts w:ascii="Calibri" w:hAnsi="Calibri"/>
                <w:sz w:val="20"/>
                <w:szCs w:val="20"/>
              </w:rPr>
              <w:t>1,50%</w:t>
            </w:r>
          </w:p>
        </w:tc>
      </w:tr>
      <w:tr w:rsidR="007377DB" w:rsidRPr="007377DB" w14:paraId="2DE1CEEC"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1C0E4444" w14:textId="77777777" w:rsidR="007377DB" w:rsidRPr="007377DB" w:rsidRDefault="007377DB" w:rsidP="007377DB">
            <w:pPr>
              <w:jc w:val="left"/>
              <w:rPr>
                <w:rFonts w:ascii="Calibri" w:hAnsi="Calibri"/>
                <w:color w:val="auto"/>
                <w:sz w:val="20"/>
                <w:szCs w:val="20"/>
              </w:rPr>
            </w:pPr>
            <w:r w:rsidRPr="007377DB">
              <w:rPr>
                <w:rFonts w:ascii="Calibri" w:hAnsi="Calibri"/>
                <w:color w:val="auto"/>
                <w:sz w:val="20"/>
                <w:szCs w:val="20"/>
                <w:lang w:val="sr-Latn-RS"/>
              </w:rPr>
              <w:t>Приходи од камата по основу орочених депозита</w:t>
            </w:r>
          </w:p>
        </w:tc>
        <w:tc>
          <w:tcPr>
            <w:tcW w:w="1287" w:type="dxa"/>
            <w:tcBorders>
              <w:top w:val="nil"/>
              <w:left w:val="nil"/>
              <w:bottom w:val="single" w:sz="4" w:space="0" w:color="auto"/>
              <w:right w:val="single" w:sz="4" w:space="0" w:color="auto"/>
            </w:tcBorders>
            <w:shd w:val="clear" w:color="auto" w:fill="auto"/>
            <w:noWrap/>
            <w:vAlign w:val="center"/>
            <w:hideMark/>
          </w:tcPr>
          <w:p w14:paraId="6A5DB865" w14:textId="77777777" w:rsidR="007377DB" w:rsidRPr="007377DB" w:rsidRDefault="007377DB" w:rsidP="007377DB">
            <w:pPr>
              <w:jc w:val="right"/>
              <w:rPr>
                <w:rFonts w:ascii="Calibri" w:hAnsi="Calibri"/>
                <w:sz w:val="20"/>
                <w:szCs w:val="20"/>
              </w:rPr>
            </w:pPr>
            <w:r w:rsidRPr="007377DB">
              <w:rPr>
                <w:rFonts w:ascii="Calibri" w:hAnsi="Calibri"/>
                <w:sz w:val="20"/>
                <w:szCs w:val="20"/>
              </w:rPr>
              <w:t>3.000,00</w:t>
            </w:r>
          </w:p>
        </w:tc>
        <w:tc>
          <w:tcPr>
            <w:tcW w:w="1406" w:type="dxa"/>
            <w:tcBorders>
              <w:top w:val="nil"/>
              <w:left w:val="nil"/>
              <w:bottom w:val="single" w:sz="4" w:space="0" w:color="auto"/>
              <w:right w:val="single" w:sz="4" w:space="0" w:color="auto"/>
            </w:tcBorders>
            <w:shd w:val="clear" w:color="auto" w:fill="auto"/>
            <w:noWrap/>
            <w:vAlign w:val="center"/>
            <w:hideMark/>
          </w:tcPr>
          <w:p w14:paraId="2877F6C6" w14:textId="77777777" w:rsidR="007377DB" w:rsidRPr="007377DB" w:rsidRDefault="007377DB" w:rsidP="007377DB">
            <w:pPr>
              <w:jc w:val="right"/>
              <w:rPr>
                <w:rFonts w:ascii="Calibri" w:hAnsi="Calibri"/>
                <w:sz w:val="20"/>
                <w:szCs w:val="20"/>
              </w:rPr>
            </w:pPr>
            <w:r w:rsidRPr="007377DB">
              <w:rPr>
                <w:rFonts w:ascii="Calibri" w:hAnsi="Calibri"/>
                <w:sz w:val="20"/>
                <w:szCs w:val="20"/>
              </w:rPr>
              <w:t>4.073,62</w:t>
            </w:r>
          </w:p>
        </w:tc>
        <w:tc>
          <w:tcPr>
            <w:tcW w:w="1134" w:type="dxa"/>
            <w:tcBorders>
              <w:top w:val="nil"/>
              <w:left w:val="nil"/>
              <w:bottom w:val="single" w:sz="4" w:space="0" w:color="auto"/>
              <w:right w:val="single" w:sz="4" w:space="0" w:color="auto"/>
            </w:tcBorders>
            <w:shd w:val="clear" w:color="auto" w:fill="auto"/>
            <w:noWrap/>
            <w:vAlign w:val="center"/>
            <w:hideMark/>
          </w:tcPr>
          <w:p w14:paraId="1D42DBFB" w14:textId="77777777" w:rsidR="007377DB" w:rsidRPr="007377DB" w:rsidRDefault="007377DB" w:rsidP="007377DB">
            <w:pPr>
              <w:jc w:val="right"/>
              <w:rPr>
                <w:rFonts w:ascii="Calibri" w:hAnsi="Calibri"/>
                <w:sz w:val="20"/>
                <w:szCs w:val="20"/>
              </w:rPr>
            </w:pPr>
            <w:r w:rsidRPr="007377DB">
              <w:rPr>
                <w:rFonts w:ascii="Calibri" w:hAnsi="Calibri"/>
                <w:sz w:val="20"/>
                <w:szCs w:val="20"/>
              </w:rPr>
              <w:t>135,79</w:t>
            </w:r>
          </w:p>
        </w:tc>
        <w:tc>
          <w:tcPr>
            <w:tcW w:w="1134" w:type="dxa"/>
            <w:tcBorders>
              <w:top w:val="nil"/>
              <w:left w:val="nil"/>
              <w:bottom w:val="single" w:sz="4" w:space="0" w:color="auto"/>
              <w:right w:val="single" w:sz="4" w:space="0" w:color="auto"/>
            </w:tcBorders>
            <w:shd w:val="clear" w:color="auto" w:fill="auto"/>
            <w:vAlign w:val="center"/>
            <w:hideMark/>
          </w:tcPr>
          <w:p w14:paraId="28FDDBB1" w14:textId="77777777" w:rsidR="007377DB" w:rsidRPr="007377DB" w:rsidRDefault="007377DB" w:rsidP="007377DB">
            <w:pPr>
              <w:jc w:val="right"/>
              <w:rPr>
                <w:rFonts w:ascii="Calibri" w:hAnsi="Calibri"/>
                <w:sz w:val="20"/>
                <w:szCs w:val="20"/>
              </w:rPr>
            </w:pPr>
            <w:r w:rsidRPr="007377DB">
              <w:rPr>
                <w:rFonts w:ascii="Calibri" w:hAnsi="Calibri"/>
                <w:sz w:val="20"/>
                <w:szCs w:val="20"/>
              </w:rPr>
              <w:t>0,32%</w:t>
            </w:r>
          </w:p>
        </w:tc>
      </w:tr>
      <w:tr w:rsidR="007377DB" w:rsidRPr="007377DB" w14:paraId="6A0CC037"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4ACC015C" w14:textId="77777777" w:rsidR="007377DB" w:rsidRPr="007377DB" w:rsidRDefault="007377DB" w:rsidP="007377DB">
            <w:pPr>
              <w:jc w:val="left"/>
              <w:rPr>
                <w:rFonts w:ascii="Calibri" w:hAnsi="Calibri"/>
                <w:color w:val="auto"/>
                <w:sz w:val="20"/>
                <w:szCs w:val="20"/>
              </w:rPr>
            </w:pPr>
            <w:r w:rsidRPr="007377DB">
              <w:rPr>
                <w:rFonts w:ascii="Calibri" w:hAnsi="Calibri"/>
                <w:color w:val="auto"/>
                <w:sz w:val="20"/>
                <w:szCs w:val="20"/>
                <w:lang w:val="sr-Latn-RS"/>
              </w:rPr>
              <w:t>Приход од дужничких ХОВ</w:t>
            </w:r>
          </w:p>
        </w:tc>
        <w:tc>
          <w:tcPr>
            <w:tcW w:w="1287" w:type="dxa"/>
            <w:tcBorders>
              <w:top w:val="nil"/>
              <w:left w:val="nil"/>
              <w:bottom w:val="single" w:sz="4" w:space="0" w:color="auto"/>
              <w:right w:val="single" w:sz="4" w:space="0" w:color="auto"/>
            </w:tcBorders>
            <w:shd w:val="clear" w:color="auto" w:fill="auto"/>
            <w:noWrap/>
            <w:vAlign w:val="center"/>
            <w:hideMark/>
          </w:tcPr>
          <w:p w14:paraId="0F5D0728"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600.000,00</w:t>
            </w:r>
          </w:p>
        </w:tc>
        <w:tc>
          <w:tcPr>
            <w:tcW w:w="1406" w:type="dxa"/>
            <w:tcBorders>
              <w:top w:val="nil"/>
              <w:left w:val="nil"/>
              <w:bottom w:val="single" w:sz="4" w:space="0" w:color="auto"/>
              <w:right w:val="single" w:sz="4" w:space="0" w:color="auto"/>
            </w:tcBorders>
            <w:shd w:val="clear" w:color="auto" w:fill="auto"/>
            <w:noWrap/>
            <w:vAlign w:val="center"/>
            <w:hideMark/>
          </w:tcPr>
          <w:p w14:paraId="7EE8501C" w14:textId="77777777" w:rsidR="007377DB" w:rsidRPr="007377DB" w:rsidRDefault="007377DB" w:rsidP="007377DB">
            <w:pPr>
              <w:jc w:val="right"/>
              <w:rPr>
                <w:rFonts w:ascii="Calibri" w:hAnsi="Calibri"/>
                <w:sz w:val="20"/>
                <w:szCs w:val="20"/>
              </w:rPr>
            </w:pPr>
            <w:r w:rsidRPr="007377DB">
              <w:rPr>
                <w:rFonts w:ascii="Calibri" w:hAnsi="Calibri"/>
                <w:sz w:val="20"/>
                <w:szCs w:val="20"/>
              </w:rPr>
              <w:t>455.046,00</w:t>
            </w:r>
          </w:p>
        </w:tc>
        <w:tc>
          <w:tcPr>
            <w:tcW w:w="1134" w:type="dxa"/>
            <w:tcBorders>
              <w:top w:val="nil"/>
              <w:left w:val="nil"/>
              <w:bottom w:val="single" w:sz="4" w:space="0" w:color="auto"/>
              <w:right w:val="single" w:sz="4" w:space="0" w:color="auto"/>
            </w:tcBorders>
            <w:shd w:val="clear" w:color="auto" w:fill="auto"/>
            <w:noWrap/>
            <w:vAlign w:val="center"/>
            <w:hideMark/>
          </w:tcPr>
          <w:p w14:paraId="3156466C" w14:textId="77777777" w:rsidR="007377DB" w:rsidRPr="007377DB" w:rsidRDefault="007377DB" w:rsidP="007377DB">
            <w:pPr>
              <w:jc w:val="right"/>
              <w:rPr>
                <w:rFonts w:ascii="Calibri" w:hAnsi="Calibri"/>
                <w:sz w:val="20"/>
                <w:szCs w:val="20"/>
              </w:rPr>
            </w:pPr>
            <w:r w:rsidRPr="007377DB">
              <w:rPr>
                <w:rFonts w:ascii="Calibri" w:hAnsi="Calibri"/>
                <w:sz w:val="20"/>
                <w:szCs w:val="20"/>
              </w:rPr>
              <w:t>75,84</w:t>
            </w:r>
          </w:p>
        </w:tc>
        <w:tc>
          <w:tcPr>
            <w:tcW w:w="1134" w:type="dxa"/>
            <w:tcBorders>
              <w:top w:val="nil"/>
              <w:left w:val="nil"/>
              <w:bottom w:val="single" w:sz="4" w:space="0" w:color="auto"/>
              <w:right w:val="single" w:sz="4" w:space="0" w:color="auto"/>
            </w:tcBorders>
            <w:shd w:val="clear" w:color="auto" w:fill="auto"/>
            <w:vAlign w:val="center"/>
            <w:hideMark/>
          </w:tcPr>
          <w:p w14:paraId="55D867A3" w14:textId="77777777" w:rsidR="007377DB" w:rsidRPr="007377DB" w:rsidRDefault="007377DB" w:rsidP="007377DB">
            <w:pPr>
              <w:jc w:val="right"/>
              <w:rPr>
                <w:rFonts w:ascii="Calibri" w:hAnsi="Calibri"/>
                <w:sz w:val="20"/>
                <w:szCs w:val="20"/>
              </w:rPr>
            </w:pPr>
            <w:r w:rsidRPr="007377DB">
              <w:rPr>
                <w:rFonts w:ascii="Calibri" w:hAnsi="Calibri"/>
                <w:sz w:val="20"/>
                <w:szCs w:val="20"/>
              </w:rPr>
              <w:t>35,65%</w:t>
            </w:r>
          </w:p>
        </w:tc>
      </w:tr>
      <w:tr w:rsidR="007377DB" w:rsidRPr="007377DB" w14:paraId="62C6211A"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0636DC52" w14:textId="77777777" w:rsidR="007377DB" w:rsidRPr="007377DB" w:rsidRDefault="007377DB" w:rsidP="007377DB">
            <w:pPr>
              <w:rPr>
                <w:rFonts w:ascii="Calibri" w:hAnsi="Calibri"/>
                <w:b/>
                <w:bCs/>
                <w:sz w:val="20"/>
                <w:szCs w:val="20"/>
              </w:rPr>
            </w:pPr>
            <w:r w:rsidRPr="007377DB">
              <w:rPr>
                <w:rFonts w:ascii="Calibri" w:hAnsi="Calibri"/>
                <w:b/>
                <w:bCs/>
                <w:sz w:val="20"/>
                <w:szCs w:val="20"/>
                <w:lang w:val="sr-Latn-RS"/>
              </w:rPr>
              <w:t>Приходи од премија и провизија</w:t>
            </w:r>
          </w:p>
        </w:tc>
        <w:tc>
          <w:tcPr>
            <w:tcW w:w="1287" w:type="dxa"/>
            <w:tcBorders>
              <w:top w:val="nil"/>
              <w:left w:val="nil"/>
              <w:bottom w:val="single" w:sz="4" w:space="0" w:color="auto"/>
              <w:right w:val="single" w:sz="4" w:space="0" w:color="auto"/>
            </w:tcBorders>
            <w:shd w:val="clear" w:color="auto" w:fill="auto"/>
            <w:noWrap/>
            <w:vAlign w:val="center"/>
            <w:hideMark/>
          </w:tcPr>
          <w:p w14:paraId="01AEDD35"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Latn-RS"/>
              </w:rPr>
              <w:t>1.025.000,00</w:t>
            </w:r>
          </w:p>
        </w:tc>
        <w:tc>
          <w:tcPr>
            <w:tcW w:w="1406" w:type="dxa"/>
            <w:tcBorders>
              <w:top w:val="nil"/>
              <w:left w:val="nil"/>
              <w:bottom w:val="single" w:sz="4" w:space="0" w:color="auto"/>
              <w:right w:val="single" w:sz="4" w:space="0" w:color="auto"/>
            </w:tcBorders>
            <w:shd w:val="clear" w:color="auto" w:fill="auto"/>
            <w:noWrap/>
            <w:vAlign w:val="center"/>
            <w:hideMark/>
          </w:tcPr>
          <w:p w14:paraId="2C68DC33"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621.123,05</w:t>
            </w:r>
          </w:p>
        </w:tc>
        <w:tc>
          <w:tcPr>
            <w:tcW w:w="1134" w:type="dxa"/>
            <w:tcBorders>
              <w:top w:val="nil"/>
              <w:left w:val="nil"/>
              <w:bottom w:val="single" w:sz="4" w:space="0" w:color="auto"/>
              <w:right w:val="single" w:sz="4" w:space="0" w:color="auto"/>
            </w:tcBorders>
            <w:shd w:val="clear" w:color="auto" w:fill="auto"/>
            <w:noWrap/>
            <w:vAlign w:val="center"/>
            <w:hideMark/>
          </w:tcPr>
          <w:p w14:paraId="4DD44EDF"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60,60</w:t>
            </w:r>
          </w:p>
        </w:tc>
        <w:tc>
          <w:tcPr>
            <w:tcW w:w="1134" w:type="dxa"/>
            <w:tcBorders>
              <w:top w:val="nil"/>
              <w:left w:val="nil"/>
              <w:bottom w:val="single" w:sz="4" w:space="0" w:color="auto"/>
              <w:right w:val="single" w:sz="4" w:space="0" w:color="auto"/>
            </w:tcBorders>
            <w:shd w:val="clear" w:color="auto" w:fill="auto"/>
            <w:vAlign w:val="center"/>
            <w:hideMark/>
          </w:tcPr>
          <w:p w14:paraId="64E29049"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48,66%</w:t>
            </w:r>
          </w:p>
        </w:tc>
      </w:tr>
      <w:tr w:rsidR="007377DB" w:rsidRPr="007377DB" w14:paraId="0DADE922"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5F0C174" w14:textId="77777777" w:rsidR="007377DB" w:rsidRPr="007377DB" w:rsidRDefault="007377DB" w:rsidP="007377DB">
            <w:pPr>
              <w:rPr>
                <w:rFonts w:ascii="Calibri" w:hAnsi="Calibri"/>
                <w:sz w:val="20"/>
                <w:szCs w:val="20"/>
              </w:rPr>
            </w:pPr>
            <w:r w:rsidRPr="007377DB">
              <w:rPr>
                <w:rFonts w:ascii="Calibri" w:hAnsi="Calibri"/>
                <w:sz w:val="20"/>
                <w:szCs w:val="20"/>
                <w:lang w:val="sr-Latn-RS"/>
              </w:rPr>
              <w:t>Приходи од премија за редовне гаранција</w:t>
            </w:r>
          </w:p>
        </w:tc>
        <w:tc>
          <w:tcPr>
            <w:tcW w:w="1287" w:type="dxa"/>
            <w:tcBorders>
              <w:top w:val="nil"/>
              <w:left w:val="nil"/>
              <w:bottom w:val="single" w:sz="4" w:space="0" w:color="auto"/>
              <w:right w:val="single" w:sz="4" w:space="0" w:color="auto"/>
            </w:tcBorders>
            <w:shd w:val="clear" w:color="auto" w:fill="auto"/>
            <w:noWrap/>
            <w:vAlign w:val="center"/>
            <w:hideMark/>
          </w:tcPr>
          <w:p w14:paraId="603A6544" w14:textId="77777777" w:rsidR="007377DB" w:rsidRPr="007377DB" w:rsidRDefault="007377DB" w:rsidP="007377DB">
            <w:pPr>
              <w:jc w:val="right"/>
              <w:rPr>
                <w:rFonts w:ascii="Calibri" w:hAnsi="Calibri"/>
                <w:sz w:val="20"/>
                <w:szCs w:val="20"/>
              </w:rPr>
            </w:pPr>
            <w:r w:rsidRPr="007377DB">
              <w:rPr>
                <w:rFonts w:ascii="Calibri" w:hAnsi="Calibri"/>
                <w:sz w:val="20"/>
                <w:szCs w:val="20"/>
                <w:lang w:val="sr-Cyrl-BA"/>
              </w:rPr>
              <w:t>700.000,00</w:t>
            </w:r>
          </w:p>
        </w:tc>
        <w:tc>
          <w:tcPr>
            <w:tcW w:w="1406" w:type="dxa"/>
            <w:tcBorders>
              <w:top w:val="nil"/>
              <w:left w:val="nil"/>
              <w:bottom w:val="single" w:sz="4" w:space="0" w:color="auto"/>
              <w:right w:val="single" w:sz="4" w:space="0" w:color="auto"/>
            </w:tcBorders>
            <w:shd w:val="clear" w:color="auto" w:fill="auto"/>
            <w:noWrap/>
            <w:vAlign w:val="center"/>
            <w:hideMark/>
          </w:tcPr>
          <w:p w14:paraId="3B4BD1A6" w14:textId="77777777" w:rsidR="007377DB" w:rsidRPr="007377DB" w:rsidRDefault="007377DB" w:rsidP="007377DB">
            <w:pPr>
              <w:jc w:val="right"/>
              <w:rPr>
                <w:rFonts w:ascii="Calibri" w:hAnsi="Calibri"/>
                <w:sz w:val="20"/>
                <w:szCs w:val="20"/>
              </w:rPr>
            </w:pPr>
            <w:r w:rsidRPr="007377DB">
              <w:rPr>
                <w:rFonts w:ascii="Calibri" w:hAnsi="Calibri"/>
                <w:sz w:val="20"/>
                <w:szCs w:val="20"/>
              </w:rPr>
              <w:t>405.611,10</w:t>
            </w:r>
          </w:p>
        </w:tc>
        <w:tc>
          <w:tcPr>
            <w:tcW w:w="1134" w:type="dxa"/>
            <w:tcBorders>
              <w:top w:val="nil"/>
              <w:left w:val="nil"/>
              <w:bottom w:val="single" w:sz="4" w:space="0" w:color="auto"/>
              <w:right w:val="single" w:sz="4" w:space="0" w:color="auto"/>
            </w:tcBorders>
            <w:shd w:val="clear" w:color="auto" w:fill="auto"/>
            <w:noWrap/>
            <w:vAlign w:val="center"/>
            <w:hideMark/>
          </w:tcPr>
          <w:p w14:paraId="66B68F04" w14:textId="77777777" w:rsidR="007377DB" w:rsidRPr="007377DB" w:rsidRDefault="007377DB" w:rsidP="007377DB">
            <w:pPr>
              <w:jc w:val="right"/>
              <w:rPr>
                <w:rFonts w:ascii="Calibri" w:hAnsi="Calibri"/>
                <w:sz w:val="20"/>
                <w:szCs w:val="20"/>
              </w:rPr>
            </w:pPr>
            <w:r w:rsidRPr="007377DB">
              <w:rPr>
                <w:rFonts w:ascii="Calibri" w:hAnsi="Calibri"/>
                <w:sz w:val="20"/>
                <w:szCs w:val="20"/>
              </w:rPr>
              <w:t>57,94</w:t>
            </w:r>
          </w:p>
        </w:tc>
        <w:tc>
          <w:tcPr>
            <w:tcW w:w="1134" w:type="dxa"/>
            <w:tcBorders>
              <w:top w:val="nil"/>
              <w:left w:val="nil"/>
              <w:bottom w:val="single" w:sz="4" w:space="0" w:color="auto"/>
              <w:right w:val="single" w:sz="4" w:space="0" w:color="auto"/>
            </w:tcBorders>
            <w:shd w:val="clear" w:color="auto" w:fill="auto"/>
            <w:vAlign w:val="center"/>
            <w:hideMark/>
          </w:tcPr>
          <w:p w14:paraId="049971C3" w14:textId="77777777" w:rsidR="007377DB" w:rsidRPr="007377DB" w:rsidRDefault="007377DB" w:rsidP="007377DB">
            <w:pPr>
              <w:jc w:val="right"/>
              <w:rPr>
                <w:rFonts w:ascii="Calibri" w:hAnsi="Calibri"/>
                <w:sz w:val="20"/>
                <w:szCs w:val="20"/>
              </w:rPr>
            </w:pPr>
            <w:r w:rsidRPr="007377DB">
              <w:rPr>
                <w:rFonts w:ascii="Calibri" w:hAnsi="Calibri"/>
                <w:sz w:val="20"/>
                <w:szCs w:val="20"/>
              </w:rPr>
              <w:t>31,78%</w:t>
            </w:r>
          </w:p>
        </w:tc>
      </w:tr>
      <w:tr w:rsidR="007377DB" w:rsidRPr="007377DB" w14:paraId="15F50FCC"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3D58608" w14:textId="77777777" w:rsidR="007377DB" w:rsidRPr="007377DB" w:rsidRDefault="007377DB" w:rsidP="007377DB">
            <w:pPr>
              <w:jc w:val="left"/>
              <w:rPr>
                <w:rFonts w:ascii="Calibri" w:hAnsi="Calibri"/>
                <w:sz w:val="20"/>
                <w:szCs w:val="20"/>
              </w:rPr>
            </w:pPr>
            <w:r w:rsidRPr="007377DB">
              <w:rPr>
                <w:rFonts w:ascii="Calibri" w:hAnsi="Calibri"/>
                <w:sz w:val="20"/>
                <w:szCs w:val="20"/>
                <w:lang w:val="sr-Latn-RS"/>
              </w:rPr>
              <w:t>Приходи од премија за кредитни портфељ</w:t>
            </w:r>
          </w:p>
        </w:tc>
        <w:tc>
          <w:tcPr>
            <w:tcW w:w="1287" w:type="dxa"/>
            <w:tcBorders>
              <w:top w:val="nil"/>
              <w:left w:val="nil"/>
              <w:bottom w:val="single" w:sz="4" w:space="0" w:color="auto"/>
              <w:right w:val="single" w:sz="4" w:space="0" w:color="auto"/>
            </w:tcBorders>
            <w:shd w:val="clear" w:color="auto" w:fill="auto"/>
            <w:noWrap/>
            <w:vAlign w:val="center"/>
            <w:hideMark/>
          </w:tcPr>
          <w:p w14:paraId="1183C217"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150.000,00</w:t>
            </w:r>
          </w:p>
        </w:tc>
        <w:tc>
          <w:tcPr>
            <w:tcW w:w="1406" w:type="dxa"/>
            <w:tcBorders>
              <w:top w:val="nil"/>
              <w:left w:val="nil"/>
              <w:bottom w:val="single" w:sz="4" w:space="0" w:color="auto"/>
              <w:right w:val="single" w:sz="4" w:space="0" w:color="auto"/>
            </w:tcBorders>
            <w:shd w:val="clear" w:color="auto" w:fill="auto"/>
            <w:noWrap/>
            <w:vAlign w:val="center"/>
            <w:hideMark/>
          </w:tcPr>
          <w:p w14:paraId="06B9B663" w14:textId="77777777" w:rsidR="007377DB" w:rsidRPr="007377DB" w:rsidRDefault="007377DB" w:rsidP="007377DB">
            <w:pPr>
              <w:jc w:val="right"/>
              <w:rPr>
                <w:rFonts w:ascii="Calibri" w:hAnsi="Calibri"/>
                <w:sz w:val="20"/>
                <w:szCs w:val="20"/>
              </w:rPr>
            </w:pPr>
            <w:r w:rsidRPr="007377DB">
              <w:rPr>
                <w:rFonts w:ascii="Calibri" w:hAnsi="Calibri"/>
                <w:sz w:val="20"/>
                <w:szCs w:val="20"/>
              </w:rPr>
              <w:t>134.071,92</w:t>
            </w:r>
          </w:p>
        </w:tc>
        <w:tc>
          <w:tcPr>
            <w:tcW w:w="1134" w:type="dxa"/>
            <w:tcBorders>
              <w:top w:val="nil"/>
              <w:left w:val="nil"/>
              <w:bottom w:val="single" w:sz="4" w:space="0" w:color="auto"/>
              <w:right w:val="single" w:sz="4" w:space="0" w:color="auto"/>
            </w:tcBorders>
            <w:shd w:val="clear" w:color="auto" w:fill="auto"/>
            <w:noWrap/>
            <w:vAlign w:val="center"/>
            <w:hideMark/>
          </w:tcPr>
          <w:p w14:paraId="1D96B920" w14:textId="77777777" w:rsidR="007377DB" w:rsidRPr="007377DB" w:rsidRDefault="007377DB" w:rsidP="007377DB">
            <w:pPr>
              <w:jc w:val="right"/>
              <w:rPr>
                <w:rFonts w:ascii="Calibri" w:hAnsi="Calibri"/>
                <w:sz w:val="20"/>
                <w:szCs w:val="20"/>
              </w:rPr>
            </w:pPr>
            <w:r w:rsidRPr="007377DB">
              <w:rPr>
                <w:rFonts w:ascii="Calibri" w:hAnsi="Calibri"/>
                <w:sz w:val="20"/>
                <w:szCs w:val="20"/>
              </w:rPr>
              <w:t>89,38</w:t>
            </w:r>
          </w:p>
        </w:tc>
        <w:tc>
          <w:tcPr>
            <w:tcW w:w="1134" w:type="dxa"/>
            <w:tcBorders>
              <w:top w:val="nil"/>
              <w:left w:val="nil"/>
              <w:bottom w:val="single" w:sz="4" w:space="0" w:color="auto"/>
              <w:right w:val="single" w:sz="4" w:space="0" w:color="auto"/>
            </w:tcBorders>
            <w:shd w:val="clear" w:color="auto" w:fill="auto"/>
            <w:vAlign w:val="center"/>
            <w:hideMark/>
          </w:tcPr>
          <w:p w14:paraId="3A48CD34" w14:textId="77777777" w:rsidR="007377DB" w:rsidRPr="007377DB" w:rsidRDefault="007377DB" w:rsidP="007377DB">
            <w:pPr>
              <w:jc w:val="right"/>
              <w:rPr>
                <w:rFonts w:ascii="Calibri" w:hAnsi="Calibri"/>
                <w:sz w:val="20"/>
                <w:szCs w:val="20"/>
              </w:rPr>
            </w:pPr>
            <w:r w:rsidRPr="007377DB">
              <w:rPr>
                <w:rFonts w:ascii="Calibri" w:hAnsi="Calibri"/>
                <w:sz w:val="20"/>
                <w:szCs w:val="20"/>
              </w:rPr>
              <w:t>10,50%</w:t>
            </w:r>
          </w:p>
        </w:tc>
      </w:tr>
      <w:tr w:rsidR="007377DB" w:rsidRPr="007377DB" w14:paraId="054A930F"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756BB8A8" w14:textId="77777777" w:rsidR="007377DB" w:rsidRPr="007377DB" w:rsidRDefault="007377DB" w:rsidP="007377DB">
            <w:pPr>
              <w:jc w:val="left"/>
              <w:rPr>
                <w:rFonts w:ascii="Calibri" w:hAnsi="Calibri"/>
                <w:sz w:val="20"/>
                <w:szCs w:val="20"/>
              </w:rPr>
            </w:pPr>
            <w:r w:rsidRPr="007377DB">
              <w:rPr>
                <w:rFonts w:ascii="Calibri" w:hAnsi="Calibri"/>
                <w:sz w:val="20"/>
                <w:szCs w:val="20"/>
                <w:lang w:val="sr-Cyrl-BA"/>
              </w:rPr>
              <w:t>Приходи од провизија за редовне гаранције</w:t>
            </w:r>
          </w:p>
        </w:tc>
        <w:tc>
          <w:tcPr>
            <w:tcW w:w="1287" w:type="dxa"/>
            <w:tcBorders>
              <w:top w:val="nil"/>
              <w:left w:val="nil"/>
              <w:bottom w:val="single" w:sz="4" w:space="0" w:color="auto"/>
              <w:right w:val="single" w:sz="4" w:space="0" w:color="auto"/>
            </w:tcBorders>
            <w:shd w:val="clear" w:color="auto" w:fill="auto"/>
            <w:noWrap/>
            <w:vAlign w:val="center"/>
            <w:hideMark/>
          </w:tcPr>
          <w:p w14:paraId="40980409"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60.000,00</w:t>
            </w:r>
          </w:p>
        </w:tc>
        <w:tc>
          <w:tcPr>
            <w:tcW w:w="1406" w:type="dxa"/>
            <w:tcBorders>
              <w:top w:val="nil"/>
              <w:left w:val="nil"/>
              <w:bottom w:val="single" w:sz="4" w:space="0" w:color="auto"/>
              <w:right w:val="single" w:sz="4" w:space="0" w:color="auto"/>
            </w:tcBorders>
            <w:shd w:val="clear" w:color="auto" w:fill="auto"/>
            <w:noWrap/>
            <w:vAlign w:val="center"/>
            <w:hideMark/>
          </w:tcPr>
          <w:p w14:paraId="22DFA29D" w14:textId="77777777" w:rsidR="007377DB" w:rsidRPr="007377DB" w:rsidRDefault="007377DB" w:rsidP="007377DB">
            <w:pPr>
              <w:jc w:val="right"/>
              <w:rPr>
                <w:rFonts w:ascii="Calibri" w:hAnsi="Calibri"/>
                <w:sz w:val="20"/>
                <w:szCs w:val="20"/>
              </w:rPr>
            </w:pPr>
            <w:r w:rsidRPr="007377DB">
              <w:rPr>
                <w:rFonts w:ascii="Calibri" w:hAnsi="Calibri"/>
                <w:sz w:val="20"/>
                <w:szCs w:val="20"/>
              </w:rPr>
              <w:t>67.757,65</w:t>
            </w:r>
          </w:p>
        </w:tc>
        <w:tc>
          <w:tcPr>
            <w:tcW w:w="1134" w:type="dxa"/>
            <w:tcBorders>
              <w:top w:val="nil"/>
              <w:left w:val="nil"/>
              <w:bottom w:val="single" w:sz="4" w:space="0" w:color="auto"/>
              <w:right w:val="single" w:sz="4" w:space="0" w:color="auto"/>
            </w:tcBorders>
            <w:shd w:val="clear" w:color="auto" w:fill="auto"/>
            <w:noWrap/>
            <w:vAlign w:val="center"/>
            <w:hideMark/>
          </w:tcPr>
          <w:p w14:paraId="786E369A" w14:textId="77777777" w:rsidR="007377DB" w:rsidRPr="007377DB" w:rsidRDefault="007377DB" w:rsidP="007377DB">
            <w:pPr>
              <w:jc w:val="right"/>
              <w:rPr>
                <w:rFonts w:ascii="Calibri" w:hAnsi="Calibri"/>
                <w:sz w:val="20"/>
                <w:szCs w:val="20"/>
              </w:rPr>
            </w:pPr>
            <w:r w:rsidRPr="007377DB">
              <w:rPr>
                <w:rFonts w:ascii="Calibri" w:hAnsi="Calibri"/>
                <w:sz w:val="20"/>
                <w:szCs w:val="20"/>
              </w:rPr>
              <w:t>112,93</w:t>
            </w:r>
          </w:p>
        </w:tc>
        <w:tc>
          <w:tcPr>
            <w:tcW w:w="1134" w:type="dxa"/>
            <w:tcBorders>
              <w:top w:val="nil"/>
              <w:left w:val="nil"/>
              <w:bottom w:val="single" w:sz="4" w:space="0" w:color="auto"/>
              <w:right w:val="single" w:sz="4" w:space="0" w:color="auto"/>
            </w:tcBorders>
            <w:shd w:val="clear" w:color="auto" w:fill="auto"/>
            <w:vAlign w:val="center"/>
            <w:hideMark/>
          </w:tcPr>
          <w:p w14:paraId="37319C6B" w14:textId="77777777" w:rsidR="007377DB" w:rsidRPr="007377DB" w:rsidRDefault="007377DB" w:rsidP="007377DB">
            <w:pPr>
              <w:jc w:val="right"/>
              <w:rPr>
                <w:rFonts w:ascii="Calibri" w:hAnsi="Calibri"/>
                <w:sz w:val="20"/>
                <w:szCs w:val="20"/>
              </w:rPr>
            </w:pPr>
            <w:r w:rsidRPr="007377DB">
              <w:rPr>
                <w:rFonts w:ascii="Calibri" w:hAnsi="Calibri"/>
                <w:sz w:val="20"/>
                <w:szCs w:val="20"/>
              </w:rPr>
              <w:t>5,31%</w:t>
            </w:r>
          </w:p>
        </w:tc>
      </w:tr>
      <w:tr w:rsidR="007377DB" w:rsidRPr="007377DB" w14:paraId="535060FA"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18F8664A" w14:textId="77777777" w:rsidR="007377DB" w:rsidRPr="007377DB" w:rsidRDefault="007377DB" w:rsidP="007377DB">
            <w:pPr>
              <w:jc w:val="left"/>
              <w:rPr>
                <w:rFonts w:ascii="Calibri" w:hAnsi="Calibri"/>
                <w:sz w:val="20"/>
                <w:szCs w:val="20"/>
              </w:rPr>
            </w:pPr>
            <w:r w:rsidRPr="007377DB">
              <w:rPr>
                <w:rFonts w:ascii="Calibri" w:hAnsi="Calibri"/>
                <w:sz w:val="20"/>
                <w:szCs w:val="20"/>
                <w:lang w:val="sr-Cyrl-BA"/>
              </w:rPr>
              <w:t>Приходи од провизија за кредитни портфељ</w:t>
            </w:r>
          </w:p>
        </w:tc>
        <w:tc>
          <w:tcPr>
            <w:tcW w:w="1287" w:type="dxa"/>
            <w:tcBorders>
              <w:top w:val="nil"/>
              <w:left w:val="nil"/>
              <w:bottom w:val="single" w:sz="4" w:space="0" w:color="auto"/>
              <w:right w:val="single" w:sz="4" w:space="0" w:color="auto"/>
            </w:tcBorders>
            <w:shd w:val="clear" w:color="auto" w:fill="auto"/>
            <w:noWrap/>
            <w:vAlign w:val="center"/>
            <w:hideMark/>
          </w:tcPr>
          <w:p w14:paraId="0C78F56F"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95.000,00</w:t>
            </w:r>
          </w:p>
        </w:tc>
        <w:tc>
          <w:tcPr>
            <w:tcW w:w="1406" w:type="dxa"/>
            <w:tcBorders>
              <w:top w:val="nil"/>
              <w:left w:val="nil"/>
              <w:bottom w:val="single" w:sz="4" w:space="0" w:color="auto"/>
              <w:right w:val="single" w:sz="4" w:space="0" w:color="auto"/>
            </w:tcBorders>
            <w:shd w:val="clear" w:color="auto" w:fill="auto"/>
            <w:noWrap/>
            <w:vAlign w:val="center"/>
            <w:hideMark/>
          </w:tcPr>
          <w:p w14:paraId="176C60EB" w14:textId="77777777" w:rsidR="007377DB" w:rsidRPr="007377DB" w:rsidRDefault="007377DB" w:rsidP="007377DB">
            <w:pPr>
              <w:jc w:val="right"/>
              <w:rPr>
                <w:rFonts w:ascii="Calibri" w:hAnsi="Calibri"/>
                <w:sz w:val="20"/>
                <w:szCs w:val="20"/>
              </w:rPr>
            </w:pPr>
            <w:r w:rsidRPr="007377DB">
              <w:rPr>
                <w:rFonts w:ascii="Calibri" w:hAnsi="Calibri"/>
                <w:sz w:val="20"/>
                <w:szCs w:val="20"/>
              </w:rPr>
              <w:t>13.682,38</w:t>
            </w:r>
          </w:p>
        </w:tc>
        <w:tc>
          <w:tcPr>
            <w:tcW w:w="1134" w:type="dxa"/>
            <w:tcBorders>
              <w:top w:val="nil"/>
              <w:left w:val="nil"/>
              <w:bottom w:val="single" w:sz="4" w:space="0" w:color="auto"/>
              <w:right w:val="single" w:sz="4" w:space="0" w:color="auto"/>
            </w:tcBorders>
            <w:shd w:val="clear" w:color="auto" w:fill="auto"/>
            <w:noWrap/>
            <w:vAlign w:val="center"/>
            <w:hideMark/>
          </w:tcPr>
          <w:p w14:paraId="33CED6B0" w14:textId="77777777" w:rsidR="007377DB" w:rsidRPr="007377DB" w:rsidRDefault="007377DB" w:rsidP="007377DB">
            <w:pPr>
              <w:jc w:val="right"/>
              <w:rPr>
                <w:rFonts w:ascii="Calibri" w:hAnsi="Calibri"/>
                <w:sz w:val="20"/>
                <w:szCs w:val="20"/>
              </w:rPr>
            </w:pPr>
            <w:r w:rsidRPr="007377DB">
              <w:rPr>
                <w:rFonts w:ascii="Calibri" w:hAnsi="Calibri"/>
                <w:sz w:val="20"/>
                <w:szCs w:val="20"/>
              </w:rPr>
              <w:t>14,40</w:t>
            </w:r>
          </w:p>
        </w:tc>
        <w:tc>
          <w:tcPr>
            <w:tcW w:w="1134" w:type="dxa"/>
            <w:tcBorders>
              <w:top w:val="nil"/>
              <w:left w:val="nil"/>
              <w:bottom w:val="single" w:sz="4" w:space="0" w:color="auto"/>
              <w:right w:val="single" w:sz="4" w:space="0" w:color="auto"/>
            </w:tcBorders>
            <w:shd w:val="clear" w:color="auto" w:fill="auto"/>
            <w:vAlign w:val="center"/>
            <w:hideMark/>
          </w:tcPr>
          <w:p w14:paraId="210EE413" w14:textId="77777777" w:rsidR="007377DB" w:rsidRPr="007377DB" w:rsidRDefault="007377DB" w:rsidP="007377DB">
            <w:pPr>
              <w:jc w:val="right"/>
              <w:rPr>
                <w:rFonts w:ascii="Calibri" w:hAnsi="Calibri"/>
                <w:sz w:val="20"/>
                <w:szCs w:val="20"/>
              </w:rPr>
            </w:pPr>
            <w:r w:rsidRPr="007377DB">
              <w:rPr>
                <w:rFonts w:ascii="Calibri" w:hAnsi="Calibri"/>
                <w:sz w:val="20"/>
                <w:szCs w:val="20"/>
              </w:rPr>
              <w:t>1,07%</w:t>
            </w:r>
          </w:p>
        </w:tc>
      </w:tr>
      <w:tr w:rsidR="007377DB" w:rsidRPr="007377DB" w14:paraId="540642F4"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4DA539E0" w14:textId="77777777" w:rsidR="007377DB" w:rsidRPr="007377DB" w:rsidRDefault="007377DB" w:rsidP="007377DB">
            <w:pPr>
              <w:rPr>
                <w:rFonts w:ascii="Calibri" w:hAnsi="Calibri"/>
                <w:sz w:val="20"/>
                <w:szCs w:val="20"/>
              </w:rPr>
            </w:pPr>
            <w:r w:rsidRPr="007377DB">
              <w:rPr>
                <w:rFonts w:ascii="Calibri" w:hAnsi="Calibri"/>
                <w:sz w:val="20"/>
                <w:szCs w:val="20"/>
                <w:lang w:val="sr-Cyrl-BA"/>
              </w:rPr>
              <w:t>Приходи од провизија за писма намјере</w:t>
            </w:r>
          </w:p>
        </w:tc>
        <w:tc>
          <w:tcPr>
            <w:tcW w:w="1287" w:type="dxa"/>
            <w:tcBorders>
              <w:top w:val="nil"/>
              <w:left w:val="nil"/>
              <w:bottom w:val="single" w:sz="4" w:space="0" w:color="auto"/>
              <w:right w:val="single" w:sz="4" w:space="0" w:color="auto"/>
            </w:tcBorders>
            <w:shd w:val="clear" w:color="auto" w:fill="auto"/>
            <w:noWrap/>
            <w:vAlign w:val="center"/>
            <w:hideMark/>
          </w:tcPr>
          <w:p w14:paraId="56AA2529" w14:textId="77777777" w:rsidR="007377DB" w:rsidRPr="007377DB" w:rsidRDefault="007377DB" w:rsidP="007377DB">
            <w:pPr>
              <w:jc w:val="right"/>
              <w:rPr>
                <w:rFonts w:ascii="Calibri" w:hAnsi="Calibri"/>
                <w:sz w:val="20"/>
                <w:szCs w:val="20"/>
              </w:rPr>
            </w:pPr>
            <w:r w:rsidRPr="007377DB">
              <w:rPr>
                <w:rFonts w:ascii="Calibri" w:hAnsi="Calibri"/>
                <w:sz w:val="20"/>
                <w:szCs w:val="20"/>
                <w:lang w:val="sr-Latn-RS"/>
              </w:rPr>
              <w:t>20.000,00</w:t>
            </w:r>
          </w:p>
        </w:tc>
        <w:tc>
          <w:tcPr>
            <w:tcW w:w="1406" w:type="dxa"/>
            <w:tcBorders>
              <w:top w:val="nil"/>
              <w:left w:val="nil"/>
              <w:bottom w:val="single" w:sz="4" w:space="0" w:color="auto"/>
              <w:right w:val="single" w:sz="4" w:space="0" w:color="auto"/>
            </w:tcBorders>
            <w:shd w:val="clear" w:color="auto" w:fill="auto"/>
            <w:noWrap/>
            <w:vAlign w:val="center"/>
            <w:hideMark/>
          </w:tcPr>
          <w:p w14:paraId="5860671E"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560BFD8"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6BAC820E"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r>
      <w:tr w:rsidR="007377DB" w:rsidRPr="007377DB" w14:paraId="3A49EBB5" w14:textId="77777777" w:rsidTr="007377DB">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0F436BD3" w14:textId="77777777" w:rsidR="007377DB" w:rsidRPr="007377DB" w:rsidRDefault="007377DB" w:rsidP="007377DB">
            <w:pPr>
              <w:jc w:val="left"/>
              <w:rPr>
                <w:rFonts w:ascii="Calibri" w:hAnsi="Calibri"/>
                <w:b/>
                <w:bCs/>
                <w:color w:val="auto"/>
                <w:sz w:val="20"/>
                <w:szCs w:val="20"/>
              </w:rPr>
            </w:pPr>
            <w:r w:rsidRPr="007377DB">
              <w:rPr>
                <w:rFonts w:ascii="Calibri" w:hAnsi="Calibri"/>
                <w:b/>
                <w:bCs/>
                <w:color w:val="auto"/>
                <w:sz w:val="20"/>
                <w:szCs w:val="20"/>
                <w:lang w:val="sr-Latn-RS"/>
              </w:rPr>
              <w:t>Приходи од укидања резервисања  по процјени и ванбилансној активи</w:t>
            </w:r>
          </w:p>
        </w:tc>
        <w:tc>
          <w:tcPr>
            <w:tcW w:w="1287" w:type="dxa"/>
            <w:tcBorders>
              <w:top w:val="nil"/>
              <w:left w:val="nil"/>
              <w:bottom w:val="single" w:sz="4" w:space="0" w:color="auto"/>
              <w:right w:val="single" w:sz="4" w:space="0" w:color="auto"/>
            </w:tcBorders>
            <w:shd w:val="clear" w:color="auto" w:fill="auto"/>
            <w:vAlign w:val="center"/>
            <w:hideMark/>
          </w:tcPr>
          <w:p w14:paraId="288C47AF"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Latn-RS"/>
              </w:rPr>
              <w:t>450.000,00</w:t>
            </w:r>
          </w:p>
        </w:tc>
        <w:tc>
          <w:tcPr>
            <w:tcW w:w="1406" w:type="dxa"/>
            <w:tcBorders>
              <w:top w:val="nil"/>
              <w:left w:val="nil"/>
              <w:bottom w:val="single" w:sz="4" w:space="0" w:color="auto"/>
              <w:right w:val="single" w:sz="4" w:space="0" w:color="auto"/>
            </w:tcBorders>
            <w:shd w:val="clear" w:color="auto" w:fill="auto"/>
            <w:vAlign w:val="center"/>
            <w:hideMark/>
          </w:tcPr>
          <w:p w14:paraId="28A6C9BC"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103.851,54</w:t>
            </w:r>
          </w:p>
        </w:tc>
        <w:tc>
          <w:tcPr>
            <w:tcW w:w="1134" w:type="dxa"/>
            <w:tcBorders>
              <w:top w:val="nil"/>
              <w:left w:val="nil"/>
              <w:bottom w:val="single" w:sz="4" w:space="0" w:color="auto"/>
              <w:right w:val="single" w:sz="4" w:space="0" w:color="auto"/>
            </w:tcBorders>
            <w:shd w:val="clear" w:color="auto" w:fill="auto"/>
            <w:noWrap/>
            <w:vAlign w:val="center"/>
            <w:hideMark/>
          </w:tcPr>
          <w:p w14:paraId="2195FDE0"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23,08</w:t>
            </w:r>
          </w:p>
        </w:tc>
        <w:tc>
          <w:tcPr>
            <w:tcW w:w="1134" w:type="dxa"/>
            <w:tcBorders>
              <w:top w:val="nil"/>
              <w:left w:val="nil"/>
              <w:bottom w:val="single" w:sz="4" w:space="0" w:color="auto"/>
              <w:right w:val="single" w:sz="4" w:space="0" w:color="auto"/>
            </w:tcBorders>
            <w:shd w:val="clear" w:color="auto" w:fill="auto"/>
            <w:vAlign w:val="center"/>
            <w:hideMark/>
          </w:tcPr>
          <w:p w14:paraId="12394648"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8,14%</w:t>
            </w:r>
          </w:p>
        </w:tc>
      </w:tr>
      <w:tr w:rsidR="007377DB" w:rsidRPr="007377DB" w14:paraId="6ABD6B4B"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40E45765" w14:textId="77777777" w:rsidR="007377DB" w:rsidRPr="007377DB" w:rsidRDefault="007377DB" w:rsidP="007377DB">
            <w:pPr>
              <w:rPr>
                <w:rFonts w:ascii="Calibri" w:hAnsi="Calibri"/>
                <w:b/>
                <w:bCs/>
                <w:sz w:val="20"/>
                <w:szCs w:val="20"/>
              </w:rPr>
            </w:pPr>
            <w:r w:rsidRPr="007377DB">
              <w:rPr>
                <w:rFonts w:ascii="Calibri" w:hAnsi="Calibri"/>
                <w:b/>
                <w:bCs/>
                <w:sz w:val="20"/>
                <w:szCs w:val="20"/>
                <w:lang w:val="sr-Latn-RS"/>
              </w:rPr>
              <w:t>Остали приходи</w:t>
            </w:r>
          </w:p>
        </w:tc>
        <w:tc>
          <w:tcPr>
            <w:tcW w:w="1287" w:type="dxa"/>
            <w:tcBorders>
              <w:top w:val="nil"/>
              <w:left w:val="nil"/>
              <w:bottom w:val="single" w:sz="4" w:space="0" w:color="auto"/>
              <w:right w:val="single" w:sz="4" w:space="0" w:color="auto"/>
            </w:tcBorders>
            <w:shd w:val="clear" w:color="auto" w:fill="auto"/>
            <w:noWrap/>
            <w:vAlign w:val="center"/>
            <w:hideMark/>
          </w:tcPr>
          <w:p w14:paraId="12F992F6"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Latn-RS"/>
              </w:rPr>
              <w:t>60.000,00</w:t>
            </w:r>
          </w:p>
        </w:tc>
        <w:tc>
          <w:tcPr>
            <w:tcW w:w="1406" w:type="dxa"/>
            <w:tcBorders>
              <w:top w:val="nil"/>
              <w:left w:val="nil"/>
              <w:bottom w:val="single" w:sz="4" w:space="0" w:color="auto"/>
              <w:right w:val="single" w:sz="4" w:space="0" w:color="auto"/>
            </w:tcBorders>
            <w:shd w:val="clear" w:color="auto" w:fill="auto"/>
            <w:noWrap/>
            <w:vAlign w:val="center"/>
            <w:hideMark/>
          </w:tcPr>
          <w:p w14:paraId="0B87B5F8"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73.064,69</w:t>
            </w:r>
          </w:p>
        </w:tc>
        <w:tc>
          <w:tcPr>
            <w:tcW w:w="1134" w:type="dxa"/>
            <w:tcBorders>
              <w:top w:val="nil"/>
              <w:left w:val="nil"/>
              <w:bottom w:val="single" w:sz="4" w:space="0" w:color="auto"/>
              <w:right w:val="single" w:sz="4" w:space="0" w:color="auto"/>
            </w:tcBorders>
            <w:shd w:val="clear" w:color="auto" w:fill="auto"/>
            <w:noWrap/>
            <w:vAlign w:val="center"/>
            <w:hideMark/>
          </w:tcPr>
          <w:p w14:paraId="705CB352"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121,77</w:t>
            </w:r>
          </w:p>
        </w:tc>
        <w:tc>
          <w:tcPr>
            <w:tcW w:w="1134" w:type="dxa"/>
            <w:tcBorders>
              <w:top w:val="nil"/>
              <w:left w:val="nil"/>
              <w:bottom w:val="single" w:sz="4" w:space="0" w:color="auto"/>
              <w:right w:val="single" w:sz="4" w:space="0" w:color="auto"/>
            </w:tcBorders>
            <w:shd w:val="clear" w:color="auto" w:fill="auto"/>
            <w:vAlign w:val="center"/>
            <w:hideMark/>
          </w:tcPr>
          <w:p w14:paraId="2F5854E4"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5,72%</w:t>
            </w:r>
          </w:p>
        </w:tc>
      </w:tr>
      <w:tr w:rsidR="007377DB" w:rsidRPr="007377DB" w14:paraId="67BD6499" w14:textId="77777777" w:rsidTr="007377DB">
        <w:trPr>
          <w:trHeight w:val="315"/>
        </w:trPr>
        <w:tc>
          <w:tcPr>
            <w:tcW w:w="3828" w:type="dxa"/>
            <w:tcBorders>
              <w:top w:val="nil"/>
              <w:left w:val="single" w:sz="4" w:space="0" w:color="auto"/>
              <w:bottom w:val="single" w:sz="4" w:space="0" w:color="auto"/>
              <w:right w:val="single" w:sz="4" w:space="0" w:color="auto"/>
            </w:tcBorders>
            <w:shd w:val="clear" w:color="000000" w:fill="8DB4E2"/>
            <w:noWrap/>
            <w:vAlign w:val="center"/>
            <w:hideMark/>
          </w:tcPr>
          <w:p w14:paraId="7FCA0C7C" w14:textId="77777777" w:rsidR="007377DB" w:rsidRPr="007377DB" w:rsidRDefault="007377DB" w:rsidP="007377DB">
            <w:pPr>
              <w:jc w:val="left"/>
              <w:rPr>
                <w:rFonts w:ascii="Calibri" w:hAnsi="Calibri"/>
                <w:b/>
                <w:bCs/>
                <w:sz w:val="20"/>
                <w:szCs w:val="20"/>
              </w:rPr>
            </w:pPr>
            <w:r w:rsidRPr="007377DB">
              <w:rPr>
                <w:rFonts w:ascii="Calibri" w:hAnsi="Calibri"/>
                <w:b/>
                <w:bCs/>
                <w:sz w:val="20"/>
                <w:szCs w:val="20"/>
                <w:lang w:val="sr-Cyrl-BA"/>
              </w:rPr>
              <w:t>УКУПНО</w:t>
            </w:r>
          </w:p>
        </w:tc>
        <w:tc>
          <w:tcPr>
            <w:tcW w:w="1287" w:type="dxa"/>
            <w:tcBorders>
              <w:top w:val="nil"/>
              <w:left w:val="nil"/>
              <w:bottom w:val="single" w:sz="4" w:space="0" w:color="auto"/>
              <w:right w:val="single" w:sz="4" w:space="0" w:color="auto"/>
            </w:tcBorders>
            <w:shd w:val="clear" w:color="000000" w:fill="8DB4E2"/>
            <w:noWrap/>
            <w:vAlign w:val="center"/>
            <w:hideMark/>
          </w:tcPr>
          <w:p w14:paraId="054DF500"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Latn-RS"/>
              </w:rPr>
              <w:t>2.213.000,00</w:t>
            </w:r>
          </w:p>
        </w:tc>
        <w:tc>
          <w:tcPr>
            <w:tcW w:w="1406" w:type="dxa"/>
            <w:tcBorders>
              <w:top w:val="nil"/>
              <w:left w:val="nil"/>
              <w:bottom w:val="single" w:sz="4" w:space="0" w:color="auto"/>
              <w:right w:val="single" w:sz="4" w:space="0" w:color="auto"/>
            </w:tcBorders>
            <w:shd w:val="clear" w:color="000000" w:fill="8DB4E2"/>
            <w:noWrap/>
            <w:vAlign w:val="center"/>
            <w:hideMark/>
          </w:tcPr>
          <w:p w14:paraId="1ABCAF88"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Latn-RS"/>
              </w:rPr>
              <w:t>1.276.365,06</w:t>
            </w:r>
          </w:p>
        </w:tc>
        <w:tc>
          <w:tcPr>
            <w:tcW w:w="1134" w:type="dxa"/>
            <w:tcBorders>
              <w:top w:val="nil"/>
              <w:left w:val="nil"/>
              <w:bottom w:val="single" w:sz="4" w:space="0" w:color="auto"/>
              <w:right w:val="single" w:sz="4" w:space="0" w:color="auto"/>
            </w:tcBorders>
            <w:shd w:val="clear" w:color="000000" w:fill="8DB4E2"/>
            <w:noWrap/>
            <w:vAlign w:val="center"/>
            <w:hideMark/>
          </w:tcPr>
          <w:p w14:paraId="53A6C687"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57,68</w:t>
            </w:r>
          </w:p>
        </w:tc>
        <w:tc>
          <w:tcPr>
            <w:tcW w:w="1134" w:type="dxa"/>
            <w:tcBorders>
              <w:top w:val="nil"/>
              <w:left w:val="nil"/>
              <w:bottom w:val="single" w:sz="4" w:space="0" w:color="auto"/>
              <w:right w:val="single" w:sz="4" w:space="0" w:color="auto"/>
            </w:tcBorders>
            <w:shd w:val="clear" w:color="000000" w:fill="8DB4E2"/>
            <w:vAlign w:val="center"/>
            <w:hideMark/>
          </w:tcPr>
          <w:p w14:paraId="401B05E1"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lang w:val="sr-Cyrl-RS"/>
              </w:rPr>
              <w:t>100,00%</w:t>
            </w:r>
          </w:p>
        </w:tc>
      </w:tr>
    </w:tbl>
    <w:p w14:paraId="67C935F2" w14:textId="77777777" w:rsidR="007377DB" w:rsidRPr="005767EF" w:rsidRDefault="007377DB" w:rsidP="001538EF">
      <w:pPr>
        <w:rPr>
          <w:rFonts w:asciiTheme="minorHAnsi" w:hAnsiTheme="minorHAnsi"/>
          <w:sz w:val="20"/>
          <w:szCs w:val="20"/>
          <w:lang w:val="sr-Cyrl-CS" w:eastAsia="sr-Cyrl-CS"/>
        </w:rPr>
      </w:pPr>
      <w:r>
        <w:rPr>
          <w:rFonts w:asciiTheme="minorHAnsi" w:hAnsiTheme="minorHAnsi"/>
          <w:sz w:val="20"/>
          <w:szCs w:val="20"/>
          <w:lang w:val="sr-Cyrl-CS" w:eastAsia="sr-Cyrl-CS"/>
        </w:rPr>
        <w:fldChar w:fldCharType="end"/>
      </w:r>
    </w:p>
    <w:p w14:paraId="2D276220" w14:textId="77777777" w:rsidR="00A561E0" w:rsidRPr="005767EF" w:rsidRDefault="001538EF" w:rsidP="001538EF">
      <w:pPr>
        <w:rPr>
          <w:rFonts w:asciiTheme="minorHAnsi" w:hAnsiTheme="minorHAnsi"/>
          <w:sz w:val="20"/>
          <w:szCs w:val="20"/>
          <w:lang w:val="sr-Cyrl-BA" w:eastAsia="sr-Cyrl-CS"/>
        </w:rPr>
      </w:pPr>
      <w:r w:rsidRPr="005767EF">
        <w:rPr>
          <w:rFonts w:asciiTheme="minorHAnsi" w:hAnsiTheme="minorHAnsi"/>
          <w:sz w:val="20"/>
          <w:szCs w:val="20"/>
          <w:lang w:val="sr-Cyrl-BA" w:eastAsia="sr-Cyrl-CS"/>
        </w:rPr>
        <w:t>У 202</w:t>
      </w:r>
      <w:r w:rsidR="0009324C" w:rsidRPr="005767EF">
        <w:rPr>
          <w:rFonts w:asciiTheme="minorHAnsi" w:hAnsiTheme="minorHAnsi"/>
          <w:sz w:val="20"/>
          <w:szCs w:val="20"/>
          <w:lang w:eastAsia="sr-Cyrl-CS"/>
        </w:rPr>
        <w:t>3</w:t>
      </w:r>
      <w:r w:rsidRPr="005767EF">
        <w:rPr>
          <w:rFonts w:asciiTheme="minorHAnsi" w:hAnsiTheme="minorHAnsi"/>
          <w:sz w:val="20"/>
          <w:szCs w:val="20"/>
          <w:lang w:val="sr-Cyrl-BA" w:eastAsia="sr-Cyrl-CS"/>
        </w:rPr>
        <w:t>. години</w:t>
      </w:r>
      <w:r w:rsidR="00A561E0" w:rsidRPr="005767EF">
        <w:rPr>
          <w:rFonts w:asciiTheme="minorHAnsi" w:hAnsiTheme="minorHAnsi"/>
          <w:sz w:val="20"/>
          <w:szCs w:val="20"/>
          <w:lang w:val="sr-Cyrl-BA" w:eastAsia="sr-Cyrl-CS"/>
        </w:rPr>
        <w:t>, Гаран</w:t>
      </w:r>
      <w:r w:rsidR="00E86D8D" w:rsidRPr="005767EF">
        <w:rPr>
          <w:rFonts w:asciiTheme="minorHAnsi" w:hAnsiTheme="minorHAnsi"/>
          <w:sz w:val="20"/>
          <w:szCs w:val="20"/>
          <w:lang w:val="sr-Cyrl-BA" w:eastAsia="sr-Cyrl-CS"/>
        </w:rPr>
        <w:t>т</w:t>
      </w:r>
      <w:r w:rsidR="00A561E0" w:rsidRPr="005767EF">
        <w:rPr>
          <w:rFonts w:asciiTheme="minorHAnsi" w:hAnsiTheme="minorHAnsi"/>
          <w:sz w:val="20"/>
          <w:szCs w:val="20"/>
          <w:lang w:val="sr-Cyrl-BA" w:eastAsia="sr-Cyrl-CS"/>
        </w:rPr>
        <w:t>н</w:t>
      </w:r>
      <w:r w:rsidR="00E86D8D" w:rsidRPr="005767EF">
        <w:rPr>
          <w:rFonts w:asciiTheme="minorHAnsi" w:hAnsiTheme="minorHAnsi"/>
          <w:sz w:val="20"/>
          <w:szCs w:val="20"/>
          <w:lang w:val="sr-Cyrl-BA" w:eastAsia="sr-Cyrl-CS"/>
        </w:rPr>
        <w:t>и ф</w:t>
      </w:r>
      <w:r w:rsidR="00A561E0" w:rsidRPr="005767EF">
        <w:rPr>
          <w:rFonts w:asciiTheme="minorHAnsi" w:hAnsiTheme="minorHAnsi"/>
          <w:sz w:val="20"/>
          <w:szCs w:val="20"/>
          <w:lang w:val="sr-Cyrl-BA" w:eastAsia="sr-Cyrl-CS"/>
        </w:rPr>
        <w:t>онд је остварио укуп</w:t>
      </w:r>
      <w:r w:rsidR="0042190C" w:rsidRPr="005767EF">
        <w:rPr>
          <w:rFonts w:asciiTheme="minorHAnsi" w:hAnsiTheme="minorHAnsi"/>
          <w:sz w:val="20"/>
          <w:szCs w:val="20"/>
          <w:lang w:val="sr-Cyrl-BA" w:eastAsia="sr-Cyrl-CS"/>
        </w:rPr>
        <w:t>не</w:t>
      </w:r>
      <w:r w:rsidRPr="005767EF">
        <w:rPr>
          <w:rFonts w:asciiTheme="minorHAnsi" w:hAnsiTheme="minorHAnsi"/>
          <w:sz w:val="20"/>
          <w:szCs w:val="20"/>
          <w:lang w:val="sr-Cyrl-BA" w:eastAsia="sr-Cyrl-CS"/>
        </w:rPr>
        <w:t xml:space="preserve"> приход</w:t>
      </w:r>
      <w:r w:rsidR="0042190C" w:rsidRPr="005767EF">
        <w:rPr>
          <w:rFonts w:asciiTheme="minorHAnsi" w:hAnsiTheme="minorHAnsi"/>
          <w:sz w:val="20"/>
          <w:szCs w:val="20"/>
          <w:lang w:val="sr-Cyrl-BA" w:eastAsia="sr-Cyrl-CS"/>
        </w:rPr>
        <w:t>е</w:t>
      </w:r>
      <w:r w:rsidRPr="005767EF">
        <w:rPr>
          <w:rFonts w:asciiTheme="minorHAnsi" w:hAnsiTheme="minorHAnsi"/>
          <w:sz w:val="20"/>
          <w:szCs w:val="20"/>
          <w:lang w:val="sr-Cyrl-BA" w:eastAsia="sr-Cyrl-CS"/>
        </w:rPr>
        <w:t xml:space="preserve"> у износу од 1.</w:t>
      </w:r>
      <w:r w:rsidR="0009324C" w:rsidRPr="005767EF">
        <w:rPr>
          <w:rFonts w:asciiTheme="minorHAnsi" w:hAnsiTheme="minorHAnsi"/>
          <w:sz w:val="20"/>
          <w:szCs w:val="20"/>
          <w:lang w:eastAsia="sr-Cyrl-CS"/>
        </w:rPr>
        <w:t>276.365,06</w:t>
      </w:r>
      <w:r w:rsidRPr="005767EF">
        <w:rPr>
          <w:rFonts w:asciiTheme="minorHAnsi" w:hAnsiTheme="minorHAnsi"/>
          <w:sz w:val="20"/>
          <w:szCs w:val="20"/>
          <w:lang w:val="sr-Cyrl-BA" w:eastAsia="sr-Cyrl-CS"/>
        </w:rPr>
        <w:t xml:space="preserve"> КМ</w:t>
      </w:r>
      <w:r w:rsidR="00D83063" w:rsidRPr="005767EF">
        <w:rPr>
          <w:rFonts w:asciiTheme="minorHAnsi" w:hAnsiTheme="minorHAnsi"/>
          <w:sz w:val="20"/>
          <w:szCs w:val="20"/>
          <w:lang w:val="sr-Cyrl-BA" w:eastAsia="sr-Cyrl-CS"/>
        </w:rPr>
        <w:t>.</w:t>
      </w:r>
      <w:r w:rsidRPr="005767EF">
        <w:rPr>
          <w:rFonts w:asciiTheme="minorHAnsi" w:hAnsiTheme="minorHAnsi"/>
          <w:sz w:val="20"/>
          <w:szCs w:val="20"/>
          <w:lang w:val="sr-Cyrl-BA" w:eastAsia="sr-Cyrl-CS"/>
        </w:rPr>
        <w:t xml:space="preserve"> </w:t>
      </w:r>
      <w:r w:rsidR="00A561E0" w:rsidRPr="005767EF">
        <w:rPr>
          <w:rFonts w:asciiTheme="minorHAnsi" w:hAnsiTheme="minorHAnsi"/>
          <w:sz w:val="20"/>
          <w:szCs w:val="20"/>
          <w:lang w:val="sr-Cyrl-BA" w:eastAsia="sr-Cyrl-CS"/>
        </w:rPr>
        <w:t xml:space="preserve">Укупне приходе чине приходи од премија и провизија на издате гаранције, приходи од камата по различитим основама, приходи од укидања резервисања и остали приходи. </w:t>
      </w:r>
    </w:p>
    <w:p w14:paraId="5AEC3DF7" w14:textId="77777777" w:rsidR="00A561E0" w:rsidRPr="005767EF" w:rsidRDefault="00A561E0" w:rsidP="001538EF">
      <w:pPr>
        <w:rPr>
          <w:rFonts w:asciiTheme="minorHAnsi" w:hAnsiTheme="minorHAnsi"/>
          <w:sz w:val="20"/>
          <w:szCs w:val="20"/>
          <w:lang w:val="sr-Cyrl-RS" w:eastAsia="sr-Cyrl-CS"/>
        </w:rPr>
      </w:pPr>
    </w:p>
    <w:p w14:paraId="34120C7D" w14:textId="77777777" w:rsidR="00EE027C" w:rsidRPr="005767EF" w:rsidRDefault="0042190C" w:rsidP="001538EF">
      <w:pPr>
        <w:rPr>
          <w:rFonts w:asciiTheme="minorHAnsi" w:hAnsiTheme="minorHAnsi"/>
          <w:sz w:val="20"/>
          <w:szCs w:val="20"/>
          <w:lang w:val="sr-Cyrl-BA" w:eastAsia="sr-Cyrl-CS"/>
        </w:rPr>
      </w:pPr>
      <w:r w:rsidRPr="005767EF">
        <w:rPr>
          <w:rFonts w:asciiTheme="minorHAnsi" w:hAnsiTheme="minorHAnsi"/>
          <w:sz w:val="20"/>
          <w:szCs w:val="20"/>
          <w:lang w:val="sr-Cyrl-BA" w:eastAsia="sr-Cyrl-CS"/>
        </w:rPr>
        <w:t>Ако</w:t>
      </w:r>
      <w:r w:rsidR="001538EF" w:rsidRPr="005767EF">
        <w:rPr>
          <w:rFonts w:asciiTheme="minorHAnsi" w:hAnsiTheme="minorHAnsi"/>
          <w:sz w:val="20"/>
          <w:szCs w:val="20"/>
          <w:lang w:val="sr-Cyrl-BA" w:eastAsia="sr-Cyrl-CS"/>
        </w:rPr>
        <w:t xml:space="preserve"> п</w:t>
      </w:r>
      <w:r w:rsidRPr="005767EF">
        <w:rPr>
          <w:rFonts w:asciiTheme="minorHAnsi" w:hAnsiTheme="minorHAnsi"/>
          <w:sz w:val="20"/>
          <w:szCs w:val="20"/>
          <w:lang w:val="sr-Cyrl-BA" w:eastAsia="sr-Cyrl-CS"/>
        </w:rPr>
        <w:t>ос</w:t>
      </w:r>
      <w:r w:rsidR="001538EF" w:rsidRPr="005767EF">
        <w:rPr>
          <w:rFonts w:asciiTheme="minorHAnsi" w:hAnsiTheme="minorHAnsi"/>
          <w:sz w:val="20"/>
          <w:szCs w:val="20"/>
          <w:lang w:val="sr-Cyrl-BA" w:eastAsia="sr-Cyrl-CS"/>
        </w:rPr>
        <w:t>матра</w:t>
      </w:r>
      <w:r w:rsidRPr="005767EF">
        <w:rPr>
          <w:rFonts w:asciiTheme="minorHAnsi" w:hAnsiTheme="minorHAnsi"/>
          <w:sz w:val="20"/>
          <w:szCs w:val="20"/>
          <w:lang w:val="sr-Cyrl-BA" w:eastAsia="sr-Cyrl-CS"/>
        </w:rPr>
        <w:t>мо структуру</w:t>
      </w:r>
      <w:r w:rsidR="001538EF" w:rsidRPr="005767EF">
        <w:rPr>
          <w:rFonts w:asciiTheme="minorHAnsi" w:hAnsiTheme="minorHAnsi"/>
          <w:sz w:val="20"/>
          <w:szCs w:val="20"/>
          <w:lang w:val="sr-Cyrl-BA" w:eastAsia="sr-Cyrl-CS"/>
        </w:rPr>
        <w:t xml:space="preserve"> прихода</w:t>
      </w:r>
      <w:r w:rsidR="00A561E0" w:rsidRPr="005767EF">
        <w:rPr>
          <w:rFonts w:asciiTheme="minorHAnsi" w:hAnsiTheme="minorHAnsi"/>
          <w:sz w:val="20"/>
          <w:szCs w:val="20"/>
          <w:lang w:val="sr-Cyrl-BA" w:eastAsia="sr-Cyrl-CS"/>
        </w:rPr>
        <w:t xml:space="preserve">, </w:t>
      </w:r>
      <w:r w:rsidR="001538EF" w:rsidRPr="005767EF">
        <w:rPr>
          <w:rFonts w:asciiTheme="minorHAnsi" w:hAnsiTheme="minorHAnsi"/>
          <w:sz w:val="20"/>
          <w:szCs w:val="20"/>
          <w:lang w:val="sr-Cyrl-BA" w:eastAsia="sr-Cyrl-CS"/>
        </w:rPr>
        <w:t xml:space="preserve">највеће учешће </w:t>
      </w:r>
      <w:r w:rsidRPr="005767EF">
        <w:rPr>
          <w:rFonts w:asciiTheme="minorHAnsi" w:hAnsiTheme="minorHAnsi"/>
          <w:sz w:val="20"/>
          <w:szCs w:val="20"/>
          <w:lang w:val="sr-Cyrl-BA" w:eastAsia="sr-Cyrl-CS"/>
        </w:rPr>
        <w:t>имају приходи</w:t>
      </w:r>
      <w:r w:rsidR="001538EF" w:rsidRPr="005767EF">
        <w:rPr>
          <w:rFonts w:asciiTheme="minorHAnsi" w:hAnsiTheme="minorHAnsi"/>
          <w:sz w:val="20"/>
          <w:szCs w:val="20"/>
          <w:lang w:val="sr-Cyrl-BA" w:eastAsia="sr-Cyrl-CS"/>
        </w:rPr>
        <w:t xml:space="preserve"> од премија и провизија за издане гаранције</w:t>
      </w:r>
      <w:r w:rsidR="00A561E0" w:rsidRPr="005767EF">
        <w:rPr>
          <w:rFonts w:asciiTheme="minorHAnsi" w:hAnsiTheme="minorHAnsi"/>
          <w:sz w:val="20"/>
          <w:szCs w:val="20"/>
          <w:lang w:val="sr-Cyrl-BA" w:eastAsia="sr-Cyrl-CS"/>
        </w:rPr>
        <w:t>, а ова група чини</w:t>
      </w:r>
      <w:r w:rsidR="001538EF" w:rsidRPr="005767EF">
        <w:rPr>
          <w:rFonts w:asciiTheme="minorHAnsi" w:hAnsiTheme="minorHAnsi"/>
          <w:sz w:val="20"/>
          <w:szCs w:val="20"/>
          <w:lang w:val="sr-Cyrl-BA" w:eastAsia="sr-Cyrl-CS"/>
        </w:rPr>
        <w:t xml:space="preserve"> </w:t>
      </w:r>
      <w:r w:rsidR="00184B20" w:rsidRPr="005767EF">
        <w:rPr>
          <w:rFonts w:asciiTheme="minorHAnsi" w:hAnsiTheme="minorHAnsi"/>
          <w:sz w:val="20"/>
          <w:szCs w:val="20"/>
          <w:lang w:val="sr-Cyrl-BA" w:eastAsia="sr-Cyrl-CS"/>
        </w:rPr>
        <w:t>48,66</w:t>
      </w:r>
      <w:r w:rsidR="001538EF" w:rsidRPr="005767EF">
        <w:rPr>
          <w:rFonts w:asciiTheme="minorHAnsi" w:hAnsiTheme="minorHAnsi"/>
          <w:sz w:val="20"/>
          <w:szCs w:val="20"/>
          <w:lang w:val="sr-Cyrl-BA" w:eastAsia="sr-Cyrl-CS"/>
        </w:rPr>
        <w:t xml:space="preserve">% укупних прихода. </w:t>
      </w:r>
      <w:r w:rsidR="00B81C29">
        <w:rPr>
          <w:rFonts w:asciiTheme="minorHAnsi" w:hAnsiTheme="minorHAnsi"/>
          <w:sz w:val="20"/>
          <w:szCs w:val="20"/>
          <w:lang w:val="sr-Cyrl-BA" w:eastAsia="sr-Cyrl-CS"/>
        </w:rPr>
        <w:t xml:space="preserve">Приходи од камата се налазе на другом мјесту са учешћем од 37,48%. У оквиру ове групе прихода, </w:t>
      </w:r>
      <w:r w:rsidR="001538EF" w:rsidRPr="005767EF">
        <w:rPr>
          <w:rFonts w:asciiTheme="minorHAnsi" w:hAnsiTheme="minorHAnsi"/>
          <w:sz w:val="20"/>
          <w:szCs w:val="20"/>
          <w:lang w:val="sr-Cyrl-BA" w:eastAsia="sr-Cyrl-CS"/>
        </w:rPr>
        <w:t xml:space="preserve">доминантно је учешће </w:t>
      </w:r>
      <w:r w:rsidRPr="005767EF">
        <w:rPr>
          <w:rFonts w:asciiTheme="minorHAnsi" w:hAnsiTheme="minorHAnsi"/>
          <w:sz w:val="20"/>
          <w:szCs w:val="20"/>
          <w:lang w:val="sr-Cyrl-BA" w:eastAsia="sr-Cyrl-CS"/>
        </w:rPr>
        <w:t xml:space="preserve">прихода </w:t>
      </w:r>
      <w:r w:rsidR="00BD3482">
        <w:rPr>
          <w:rFonts w:asciiTheme="minorHAnsi" w:hAnsiTheme="minorHAnsi"/>
          <w:sz w:val="20"/>
          <w:szCs w:val="20"/>
          <w:lang w:val="sr-Cyrl-BA" w:eastAsia="sr-Cyrl-CS"/>
        </w:rPr>
        <w:t xml:space="preserve">по </w:t>
      </w:r>
      <w:r w:rsidR="001538EF" w:rsidRPr="005767EF">
        <w:rPr>
          <w:rFonts w:asciiTheme="minorHAnsi" w:hAnsiTheme="minorHAnsi"/>
          <w:sz w:val="20"/>
          <w:szCs w:val="20"/>
          <w:lang w:val="sr-Cyrl-BA" w:eastAsia="sr-Cyrl-CS"/>
        </w:rPr>
        <w:t>основу улагања у харт</w:t>
      </w:r>
      <w:r w:rsidR="00A561E0" w:rsidRPr="005767EF">
        <w:rPr>
          <w:rFonts w:asciiTheme="minorHAnsi" w:hAnsiTheme="minorHAnsi"/>
          <w:sz w:val="20"/>
          <w:szCs w:val="20"/>
          <w:lang w:val="sr-Cyrl-BA" w:eastAsia="sr-Cyrl-CS"/>
        </w:rPr>
        <w:t>ије од вриједност</w:t>
      </w:r>
      <w:r w:rsidR="00EE027C" w:rsidRPr="005767EF">
        <w:rPr>
          <w:rFonts w:asciiTheme="minorHAnsi" w:hAnsiTheme="minorHAnsi"/>
          <w:sz w:val="20"/>
          <w:szCs w:val="20"/>
          <w:lang w:val="sr-Cyrl-BA" w:eastAsia="sr-Cyrl-CS"/>
        </w:rPr>
        <w:t>и</w:t>
      </w:r>
      <w:r w:rsidR="00A561E0" w:rsidRPr="005767EF">
        <w:rPr>
          <w:rFonts w:asciiTheme="minorHAnsi" w:hAnsiTheme="minorHAnsi"/>
          <w:sz w:val="20"/>
          <w:szCs w:val="20"/>
          <w:lang w:val="sr-Cyrl-BA" w:eastAsia="sr-Cyrl-CS"/>
        </w:rPr>
        <w:t xml:space="preserve">. Ови приходи </w:t>
      </w:r>
      <w:r w:rsidR="00EE027C" w:rsidRPr="005767EF">
        <w:rPr>
          <w:rFonts w:asciiTheme="minorHAnsi" w:hAnsiTheme="minorHAnsi"/>
          <w:sz w:val="20"/>
          <w:szCs w:val="20"/>
          <w:lang w:val="sr-Cyrl-BA" w:eastAsia="sr-Cyrl-CS"/>
        </w:rPr>
        <w:t xml:space="preserve">износе 455.046,00 КМ и </w:t>
      </w:r>
      <w:r w:rsidR="00A561E0" w:rsidRPr="005767EF">
        <w:rPr>
          <w:rFonts w:asciiTheme="minorHAnsi" w:hAnsiTheme="minorHAnsi"/>
          <w:sz w:val="20"/>
          <w:szCs w:val="20"/>
          <w:lang w:val="sr-Cyrl-BA" w:eastAsia="sr-Cyrl-CS"/>
        </w:rPr>
        <w:t>чине</w:t>
      </w:r>
      <w:r w:rsidR="00B81C29">
        <w:rPr>
          <w:rFonts w:asciiTheme="minorHAnsi" w:hAnsiTheme="minorHAnsi"/>
          <w:sz w:val="20"/>
          <w:szCs w:val="20"/>
          <w:lang w:val="sr-Cyrl-BA" w:eastAsia="sr-Cyrl-CS"/>
        </w:rPr>
        <w:t xml:space="preserve"> 35,65</w:t>
      </w:r>
      <w:r w:rsidRPr="005767EF">
        <w:rPr>
          <w:rFonts w:asciiTheme="minorHAnsi" w:hAnsiTheme="minorHAnsi"/>
          <w:sz w:val="20"/>
          <w:szCs w:val="20"/>
          <w:lang w:val="sr-Cyrl-BA" w:eastAsia="sr-Cyrl-CS"/>
        </w:rPr>
        <w:t>% укупних</w:t>
      </w:r>
      <w:r w:rsidR="00184B20" w:rsidRPr="005767EF">
        <w:rPr>
          <w:rFonts w:asciiTheme="minorHAnsi" w:hAnsiTheme="minorHAnsi"/>
          <w:sz w:val="20"/>
          <w:szCs w:val="20"/>
          <w:lang w:val="sr-Cyrl-BA" w:eastAsia="sr-Cyrl-CS"/>
        </w:rPr>
        <w:t xml:space="preserve"> прихода</w:t>
      </w:r>
      <w:r w:rsidR="00EE027C" w:rsidRPr="005767EF">
        <w:rPr>
          <w:rFonts w:asciiTheme="minorHAnsi" w:hAnsiTheme="minorHAnsi"/>
          <w:sz w:val="20"/>
          <w:szCs w:val="20"/>
          <w:lang w:val="sr-Cyrl-BA" w:eastAsia="sr-Cyrl-CS"/>
        </w:rPr>
        <w:t>.</w:t>
      </w:r>
      <w:r w:rsidRPr="005767EF">
        <w:rPr>
          <w:rFonts w:asciiTheme="minorHAnsi" w:hAnsiTheme="minorHAnsi"/>
          <w:sz w:val="20"/>
          <w:szCs w:val="20"/>
          <w:lang w:val="sr-Cyrl-BA" w:eastAsia="sr-Cyrl-CS"/>
        </w:rPr>
        <w:t xml:space="preserve"> На трећем мјесту су приходи од укидања резервисања са учешћем од 8,14%, док је учешће осталих прихода 5,72%. </w:t>
      </w:r>
    </w:p>
    <w:p w14:paraId="3375F67F" w14:textId="77777777" w:rsidR="001538EF" w:rsidRDefault="001538EF" w:rsidP="001538EF">
      <w:pPr>
        <w:rPr>
          <w:rFonts w:asciiTheme="minorHAnsi" w:hAnsiTheme="minorHAnsi"/>
          <w:sz w:val="20"/>
          <w:szCs w:val="20"/>
          <w:lang w:val="sr-Cyrl-BA" w:eastAsia="sr-Cyrl-CS"/>
        </w:rPr>
      </w:pPr>
    </w:p>
    <w:p w14:paraId="4F7E2CDE" w14:textId="77777777" w:rsidR="00BD3482" w:rsidRDefault="00BD3482" w:rsidP="001538EF">
      <w:pPr>
        <w:rPr>
          <w:rFonts w:asciiTheme="minorHAnsi" w:hAnsiTheme="minorHAnsi"/>
          <w:sz w:val="20"/>
          <w:szCs w:val="20"/>
          <w:lang w:val="sr-Cyrl-BA" w:eastAsia="sr-Cyrl-CS"/>
        </w:rPr>
      </w:pPr>
      <w:r>
        <w:rPr>
          <w:rFonts w:asciiTheme="minorHAnsi" w:hAnsiTheme="minorHAnsi"/>
          <w:b/>
          <w:sz w:val="20"/>
          <w:szCs w:val="20"/>
          <w:lang w:val="sr-Cyrl-BA" w:eastAsia="sr-Cyrl-CS"/>
        </w:rPr>
        <w:t>Прихо</w:t>
      </w:r>
      <w:r w:rsidRPr="00BD3482">
        <w:rPr>
          <w:rFonts w:asciiTheme="minorHAnsi" w:hAnsiTheme="minorHAnsi"/>
          <w:b/>
          <w:sz w:val="20"/>
          <w:szCs w:val="20"/>
          <w:lang w:val="sr-Cyrl-BA" w:eastAsia="sr-Cyrl-CS"/>
        </w:rPr>
        <w:t xml:space="preserve">ди од камата </w:t>
      </w:r>
      <w:r>
        <w:rPr>
          <w:rFonts w:asciiTheme="minorHAnsi" w:hAnsiTheme="minorHAnsi"/>
          <w:sz w:val="20"/>
          <w:szCs w:val="20"/>
          <w:lang w:val="sr-Cyrl-BA" w:eastAsia="sr-Cyrl-CS"/>
        </w:rPr>
        <w:t>су остварени</w:t>
      </w:r>
      <w:r w:rsidRPr="00BD3482">
        <w:rPr>
          <w:rFonts w:asciiTheme="minorHAnsi" w:hAnsiTheme="minorHAnsi"/>
          <w:sz w:val="20"/>
          <w:szCs w:val="20"/>
          <w:lang w:val="sr-Cyrl-BA" w:eastAsia="sr-Cyrl-CS"/>
        </w:rPr>
        <w:t xml:space="preserve"> у укупном износу од</w:t>
      </w:r>
      <w:r>
        <w:rPr>
          <w:rFonts w:asciiTheme="minorHAnsi" w:hAnsiTheme="minorHAnsi"/>
          <w:sz w:val="20"/>
          <w:szCs w:val="20"/>
          <w:lang w:val="sr-Cyrl-BA" w:eastAsia="sr-Cyrl-CS"/>
        </w:rPr>
        <w:t xml:space="preserve"> 478.325,78 КМ. Већински дио ових прихода</w:t>
      </w:r>
      <w:r w:rsidR="00C76A89">
        <w:rPr>
          <w:rFonts w:asciiTheme="minorHAnsi" w:hAnsiTheme="minorHAnsi"/>
          <w:sz w:val="20"/>
          <w:szCs w:val="20"/>
          <w:lang w:val="sr-Cyrl-BA" w:eastAsia="sr-Cyrl-CS"/>
        </w:rPr>
        <w:t xml:space="preserve"> (455.046,00 КМ)</w:t>
      </w:r>
      <w:r>
        <w:rPr>
          <w:rFonts w:asciiTheme="minorHAnsi" w:hAnsiTheme="minorHAnsi"/>
          <w:sz w:val="20"/>
          <w:szCs w:val="20"/>
          <w:lang w:val="sr-Cyrl-BA" w:eastAsia="sr-Cyrl-CS"/>
        </w:rPr>
        <w:t xml:space="preserve"> се односи на приходе </w:t>
      </w:r>
      <w:r w:rsidR="008134F3">
        <w:rPr>
          <w:rFonts w:asciiTheme="minorHAnsi" w:hAnsiTheme="minorHAnsi"/>
          <w:sz w:val="20"/>
          <w:szCs w:val="20"/>
          <w:lang w:val="sr-Cyrl-BA" w:eastAsia="sr-Cyrl-CS"/>
        </w:rPr>
        <w:t xml:space="preserve">остварене </w:t>
      </w:r>
      <w:r w:rsidR="00C76A89">
        <w:rPr>
          <w:rFonts w:asciiTheme="minorHAnsi" w:hAnsiTheme="minorHAnsi"/>
          <w:sz w:val="20"/>
          <w:szCs w:val="20"/>
          <w:lang w:val="sr-Cyrl-BA" w:eastAsia="sr-Cyrl-CS"/>
        </w:rPr>
        <w:t>по основу</w:t>
      </w:r>
      <w:r>
        <w:rPr>
          <w:rFonts w:asciiTheme="minorHAnsi" w:hAnsiTheme="minorHAnsi"/>
          <w:sz w:val="20"/>
          <w:szCs w:val="20"/>
          <w:lang w:val="sr-Cyrl-BA" w:eastAsia="sr-Cyrl-CS"/>
        </w:rPr>
        <w:t xml:space="preserve"> улагања у дужничке хартије од вриједности</w:t>
      </w:r>
      <w:r w:rsidR="00C76A89">
        <w:rPr>
          <w:rFonts w:asciiTheme="minorHAnsi" w:hAnsiTheme="minorHAnsi"/>
          <w:sz w:val="20"/>
          <w:szCs w:val="20"/>
          <w:lang w:val="sr-Cyrl-BA" w:eastAsia="sr-Cyrl-CS"/>
        </w:rPr>
        <w:t>,</w:t>
      </w:r>
      <w:r>
        <w:rPr>
          <w:rFonts w:asciiTheme="minorHAnsi" w:hAnsiTheme="minorHAnsi"/>
          <w:sz w:val="20"/>
          <w:szCs w:val="20"/>
          <w:lang w:val="sr-Cyrl-BA" w:eastAsia="sr-Cyrl-CS"/>
        </w:rPr>
        <w:t xml:space="preserve"> </w:t>
      </w:r>
      <w:r w:rsidR="00C76A89">
        <w:rPr>
          <w:rFonts w:asciiTheme="minorHAnsi" w:hAnsiTheme="minorHAnsi"/>
          <w:sz w:val="20"/>
          <w:szCs w:val="20"/>
          <w:lang w:val="sr-Cyrl-BA" w:eastAsia="sr-Cyrl-CS"/>
        </w:rPr>
        <w:t>док се мањи износ односи на приходе од затезних камата и приходе по основу орочених депозита.</w:t>
      </w:r>
    </w:p>
    <w:p w14:paraId="368C2C79" w14:textId="77777777" w:rsidR="00C76A89" w:rsidRPr="00BD3482" w:rsidRDefault="00C76A89" w:rsidP="001538EF">
      <w:pPr>
        <w:rPr>
          <w:rFonts w:asciiTheme="minorHAnsi" w:hAnsiTheme="minorHAnsi"/>
          <w:b/>
          <w:sz w:val="20"/>
          <w:szCs w:val="20"/>
          <w:lang w:val="sr-Cyrl-BA" w:eastAsia="sr-Cyrl-CS"/>
        </w:rPr>
      </w:pPr>
    </w:p>
    <w:p w14:paraId="3A92E00B" w14:textId="77777777" w:rsidR="00F731FD" w:rsidRPr="005767EF" w:rsidRDefault="00C76A89" w:rsidP="001538EF">
      <w:pPr>
        <w:rPr>
          <w:rFonts w:asciiTheme="minorHAnsi" w:hAnsiTheme="minorHAnsi"/>
          <w:sz w:val="20"/>
          <w:szCs w:val="20"/>
          <w:lang w:val="sr-Cyrl-BA" w:eastAsia="sr-Cyrl-CS"/>
        </w:rPr>
      </w:pPr>
      <w:r w:rsidRPr="00C76A89">
        <w:rPr>
          <w:rFonts w:asciiTheme="minorHAnsi" w:hAnsiTheme="minorHAnsi"/>
          <w:sz w:val="20"/>
          <w:szCs w:val="20"/>
          <w:lang w:val="sr-Cyrl-BA" w:eastAsia="sr-Cyrl-CS"/>
        </w:rPr>
        <w:t>Највећи износ прихода током 2023. године је остварен из редовне активности издавања гаранција, односно од премија и провизија на издане гаранције</w:t>
      </w:r>
      <w:r>
        <w:rPr>
          <w:rFonts w:asciiTheme="minorHAnsi" w:hAnsiTheme="minorHAnsi"/>
          <w:b/>
          <w:sz w:val="20"/>
          <w:szCs w:val="20"/>
          <w:lang w:val="sr-Cyrl-BA" w:eastAsia="sr-Cyrl-CS"/>
        </w:rPr>
        <w:t xml:space="preserve">. </w:t>
      </w:r>
      <w:r w:rsidR="001538EF" w:rsidRPr="007377DB">
        <w:rPr>
          <w:rFonts w:asciiTheme="minorHAnsi" w:hAnsiTheme="minorHAnsi"/>
          <w:b/>
          <w:sz w:val="20"/>
          <w:szCs w:val="20"/>
          <w:lang w:val="sr-Cyrl-BA" w:eastAsia="sr-Cyrl-CS"/>
        </w:rPr>
        <w:t>Приходи од премија и провизија</w:t>
      </w:r>
      <w:r w:rsidR="001538EF" w:rsidRPr="005767EF">
        <w:rPr>
          <w:rFonts w:asciiTheme="minorHAnsi" w:hAnsiTheme="minorHAnsi"/>
          <w:sz w:val="20"/>
          <w:szCs w:val="20"/>
          <w:lang w:val="sr-Cyrl-BA" w:eastAsia="sr-Cyrl-CS"/>
        </w:rPr>
        <w:t xml:space="preserve"> </w:t>
      </w:r>
      <w:r w:rsidR="00F731FD" w:rsidRPr="005767EF">
        <w:rPr>
          <w:rFonts w:asciiTheme="minorHAnsi" w:hAnsiTheme="minorHAnsi"/>
          <w:sz w:val="20"/>
          <w:szCs w:val="20"/>
          <w:lang w:val="sr-Cyrl-BA" w:eastAsia="sr-Cyrl-CS"/>
        </w:rPr>
        <w:t>обухватају приходе од премије и провизија од појединачних гаранција, те приходе од премија и провизија по основу гаранција изданих на нивоу кредитног портфеља</w:t>
      </w:r>
      <w:r>
        <w:rPr>
          <w:rFonts w:asciiTheme="minorHAnsi" w:hAnsiTheme="minorHAnsi"/>
          <w:sz w:val="20"/>
          <w:szCs w:val="20"/>
          <w:lang w:val="sr-Cyrl-BA" w:eastAsia="sr-Cyrl-CS"/>
        </w:rPr>
        <w:t>. Током 2023. године ови приходи су остварени у износу од 621.123,05</w:t>
      </w:r>
      <w:r w:rsidRPr="00C76A89">
        <w:rPr>
          <w:rFonts w:asciiTheme="minorHAnsi" w:hAnsiTheme="minorHAnsi"/>
          <w:sz w:val="20"/>
          <w:szCs w:val="20"/>
          <w:lang w:val="sr-Cyrl-BA" w:eastAsia="sr-Cyrl-CS"/>
        </w:rPr>
        <w:t xml:space="preserve"> КМ</w:t>
      </w:r>
      <w:r>
        <w:rPr>
          <w:rFonts w:asciiTheme="minorHAnsi" w:hAnsiTheme="minorHAnsi"/>
          <w:sz w:val="20"/>
          <w:szCs w:val="20"/>
          <w:lang w:val="sr-Cyrl-BA" w:eastAsia="sr-Cyrl-CS"/>
        </w:rPr>
        <w:t>, што је готово половина укупних прихода у овој години.</w:t>
      </w:r>
    </w:p>
    <w:p w14:paraId="2FA9E7C7" w14:textId="77777777" w:rsidR="00F731FD" w:rsidRPr="005767EF" w:rsidRDefault="00F731FD" w:rsidP="001538EF">
      <w:pPr>
        <w:rPr>
          <w:rFonts w:asciiTheme="minorHAnsi" w:hAnsiTheme="minorHAnsi"/>
          <w:sz w:val="20"/>
          <w:szCs w:val="20"/>
          <w:lang w:val="sr-Cyrl-BA" w:eastAsia="sr-Cyrl-CS"/>
        </w:rPr>
      </w:pPr>
    </w:p>
    <w:p w14:paraId="242D98B5" w14:textId="77777777" w:rsidR="001538EF" w:rsidRPr="005767EF" w:rsidRDefault="001538EF" w:rsidP="001538EF">
      <w:pPr>
        <w:rPr>
          <w:rFonts w:asciiTheme="minorHAnsi" w:hAnsiTheme="minorHAnsi"/>
          <w:sz w:val="20"/>
          <w:szCs w:val="20"/>
          <w:lang w:val="sr-Cyrl-BA" w:eastAsia="sr-Cyrl-CS"/>
        </w:rPr>
      </w:pPr>
      <w:r w:rsidRPr="007377DB">
        <w:rPr>
          <w:rFonts w:asciiTheme="minorHAnsi" w:hAnsiTheme="minorHAnsi"/>
          <w:b/>
          <w:sz w:val="20"/>
          <w:szCs w:val="20"/>
          <w:lang w:val="sr-Cyrl-BA" w:eastAsia="sr-Cyrl-CS"/>
        </w:rPr>
        <w:t>Приходе од укидања резервисања</w:t>
      </w:r>
      <w:r w:rsidR="005D2D24">
        <w:rPr>
          <w:rFonts w:asciiTheme="minorHAnsi" w:hAnsiTheme="minorHAnsi"/>
          <w:sz w:val="20"/>
          <w:szCs w:val="20"/>
          <w:lang w:val="sr-Cyrl-BA" w:eastAsia="sr-Cyrl-CS"/>
        </w:rPr>
        <w:t xml:space="preserve"> </w:t>
      </w:r>
      <w:r w:rsidR="002C09A5">
        <w:rPr>
          <w:rFonts w:asciiTheme="minorHAnsi" w:hAnsiTheme="minorHAnsi"/>
          <w:sz w:val="20"/>
          <w:szCs w:val="20"/>
          <w:lang w:val="sr-Cyrl-BA" w:eastAsia="sr-Cyrl-CS"/>
        </w:rPr>
        <w:t xml:space="preserve">чине </w:t>
      </w:r>
      <w:r w:rsidR="005D2D24" w:rsidRPr="005D2D24">
        <w:rPr>
          <w:rFonts w:asciiTheme="minorHAnsi" w:hAnsiTheme="minorHAnsi"/>
          <w:sz w:val="20"/>
          <w:szCs w:val="20"/>
          <w:lang w:val="sr-Cyrl-BA" w:eastAsia="sr-Cyrl-CS"/>
        </w:rPr>
        <w:t>приходи од укидања резервисања за ванбилансне евиденције у укупном износу од 103.851,54 КМ, од чега се на редовне гаранције</w:t>
      </w:r>
      <w:r w:rsidR="005D2D24" w:rsidRPr="005D2D24">
        <w:rPr>
          <w:rFonts w:ascii="Arial" w:hAnsi="Arial" w:cs="Arial"/>
          <w:sz w:val="20"/>
          <w:szCs w:val="20"/>
          <w:lang w:val="sr-Cyrl-BA" w:eastAsia="sr-Cyrl-CS"/>
        </w:rPr>
        <w:t>‬</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односи</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приход</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износу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w:t>
      </w:r>
      <w:r w:rsidR="005D2D24" w:rsidRPr="005D2D24">
        <w:rPr>
          <w:rFonts w:asciiTheme="minorHAnsi" w:hAnsiTheme="minorHAnsi"/>
          <w:sz w:val="20"/>
          <w:szCs w:val="20"/>
          <w:lang w:val="sr-Cyrl-BA" w:eastAsia="sr-Cyrl-CS"/>
        </w:rPr>
        <w:t xml:space="preserve"> 86.865,30 </w:t>
      </w:r>
      <w:r w:rsidR="005D2D24" w:rsidRPr="005D2D24">
        <w:rPr>
          <w:rFonts w:ascii="Calibri" w:hAnsi="Calibri" w:cs="Calibri"/>
          <w:sz w:val="20"/>
          <w:szCs w:val="20"/>
          <w:lang w:val="sr-Cyrl-BA" w:eastAsia="sr-Cyrl-CS"/>
        </w:rPr>
        <w:t>КМ</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док</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се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на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гаранције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кредитног</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портфеља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односи</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приход</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износу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w:t>
      </w:r>
      <w:r w:rsidR="005D2D24" w:rsidRPr="005D2D24">
        <w:rPr>
          <w:rFonts w:asciiTheme="minorHAnsi" w:hAnsiTheme="minorHAnsi"/>
          <w:sz w:val="20"/>
          <w:szCs w:val="20"/>
          <w:lang w:val="sr-Cyrl-BA" w:eastAsia="sr-Cyrl-CS"/>
        </w:rPr>
        <w:t xml:space="preserve"> 16.978,74 </w:t>
      </w:r>
      <w:r w:rsidR="005D2D24" w:rsidRPr="005D2D24">
        <w:rPr>
          <w:rFonts w:ascii="Calibri" w:hAnsi="Calibri" w:cs="Calibri"/>
          <w:sz w:val="20"/>
          <w:szCs w:val="20"/>
          <w:lang w:val="sr-Cyrl-BA" w:eastAsia="sr-Cyrl-CS"/>
        </w:rPr>
        <w:t>КМ</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Ова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укидања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резервисања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резултат</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примјене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МСФИ</w:t>
      </w:r>
      <w:r w:rsidR="005D2D24" w:rsidRPr="005D2D24">
        <w:rPr>
          <w:rFonts w:asciiTheme="minorHAnsi" w:hAnsiTheme="minorHAnsi"/>
          <w:sz w:val="20"/>
          <w:szCs w:val="20"/>
          <w:lang w:val="sr-Cyrl-BA" w:eastAsia="sr-Cyrl-CS"/>
        </w:rPr>
        <w:t xml:space="preserve"> 9 </w:t>
      </w:r>
      <w:r w:rsidR="005D2D24" w:rsidRPr="005D2D24">
        <w:rPr>
          <w:rFonts w:ascii="Calibri" w:hAnsi="Calibri" w:cs="Calibri"/>
          <w:sz w:val="20"/>
          <w:szCs w:val="20"/>
          <w:lang w:val="sr-Cyrl-BA" w:eastAsia="sr-Cyrl-CS"/>
        </w:rPr>
        <w:t>за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извје</w:t>
      </w:r>
      <w:r w:rsidR="005D2D24" w:rsidRPr="005D2D24">
        <w:rPr>
          <w:rFonts w:asciiTheme="minorHAnsi" w:hAnsiTheme="minorHAnsi"/>
          <w:sz w:val="20"/>
          <w:szCs w:val="20"/>
          <w:lang w:val="sr-Cyrl-BA" w:eastAsia="sr-Cyrl-CS"/>
        </w:rPr>
        <w:t>штајну годину, а односе се на клијенте који су у току године побољшали финансијску позицију и почели редовно измиривати доспјеле оба</w:t>
      </w:r>
      <w:r w:rsidR="005D2D24">
        <w:rPr>
          <w:rFonts w:asciiTheme="minorHAnsi" w:hAnsiTheme="minorHAnsi"/>
          <w:sz w:val="20"/>
          <w:szCs w:val="20"/>
          <w:lang w:val="sr-Cyrl-BA" w:eastAsia="sr-Cyrl-CS"/>
        </w:rPr>
        <w:t>везе по кредитима и гаранцијама.</w:t>
      </w:r>
    </w:p>
    <w:p w14:paraId="04482250" w14:textId="77777777" w:rsidR="001538EF" w:rsidRPr="005767EF" w:rsidRDefault="001538EF" w:rsidP="001538EF">
      <w:pPr>
        <w:autoSpaceDE w:val="0"/>
        <w:autoSpaceDN w:val="0"/>
        <w:adjustRightInd w:val="0"/>
        <w:jc w:val="left"/>
        <w:rPr>
          <w:rFonts w:asciiTheme="minorHAnsi" w:eastAsiaTheme="minorHAnsi" w:hAnsiTheme="minorHAnsi"/>
          <w:bCs/>
          <w:sz w:val="20"/>
          <w:szCs w:val="20"/>
          <w:lang w:val="sr-Latn-RS" w:eastAsia="en-US"/>
        </w:rPr>
      </w:pPr>
    </w:p>
    <w:p w14:paraId="5E590046" w14:textId="77777777" w:rsidR="00617810" w:rsidRPr="005767EF" w:rsidRDefault="001538EF" w:rsidP="00013EC5">
      <w:pPr>
        <w:autoSpaceDE w:val="0"/>
        <w:autoSpaceDN w:val="0"/>
        <w:adjustRightInd w:val="0"/>
        <w:rPr>
          <w:rFonts w:asciiTheme="minorHAnsi" w:eastAsiaTheme="minorHAnsi" w:hAnsiTheme="minorHAnsi"/>
          <w:bCs/>
          <w:sz w:val="20"/>
          <w:szCs w:val="20"/>
          <w:lang w:val="sr-Cyrl-BA" w:eastAsia="en-US"/>
        </w:rPr>
      </w:pPr>
      <w:r w:rsidRPr="007377DB">
        <w:rPr>
          <w:rFonts w:asciiTheme="minorHAnsi" w:eastAsiaTheme="minorHAnsi" w:hAnsiTheme="minorHAnsi"/>
          <w:b/>
          <w:bCs/>
          <w:sz w:val="20"/>
          <w:szCs w:val="20"/>
          <w:lang w:val="sr-Cyrl-BA" w:eastAsia="en-US"/>
        </w:rPr>
        <w:t>Остали приходи</w:t>
      </w:r>
      <w:r w:rsidRPr="005767EF">
        <w:rPr>
          <w:rFonts w:asciiTheme="minorHAnsi" w:eastAsiaTheme="minorHAnsi" w:hAnsiTheme="minorHAnsi"/>
          <w:bCs/>
          <w:sz w:val="20"/>
          <w:szCs w:val="20"/>
          <w:lang w:val="sr-Cyrl-BA" w:eastAsia="en-US"/>
        </w:rPr>
        <w:t xml:space="preserve"> у износу од </w:t>
      </w:r>
      <w:r w:rsidR="00013EC5" w:rsidRPr="005767EF">
        <w:rPr>
          <w:rFonts w:asciiTheme="minorHAnsi" w:eastAsiaTheme="minorHAnsi" w:hAnsiTheme="minorHAnsi"/>
          <w:bCs/>
          <w:sz w:val="20"/>
          <w:szCs w:val="20"/>
          <w:lang w:val="sr-Cyrl-BA" w:eastAsia="en-US"/>
        </w:rPr>
        <w:t>73.064,22</w:t>
      </w:r>
      <w:r w:rsidRPr="005767EF">
        <w:rPr>
          <w:rFonts w:asciiTheme="minorHAnsi" w:eastAsiaTheme="minorHAnsi" w:hAnsiTheme="minorHAnsi"/>
          <w:bCs/>
          <w:sz w:val="20"/>
          <w:szCs w:val="20"/>
          <w:lang w:val="sr-Cyrl-BA" w:eastAsia="en-US"/>
        </w:rPr>
        <w:t xml:space="preserve"> КМ </w:t>
      </w:r>
      <w:r w:rsidR="00910D8B">
        <w:rPr>
          <w:rFonts w:asciiTheme="minorHAnsi" w:eastAsiaTheme="minorHAnsi" w:hAnsiTheme="minorHAnsi"/>
          <w:bCs/>
          <w:sz w:val="20"/>
          <w:szCs w:val="20"/>
          <w:lang w:val="sr-Cyrl-BA" w:eastAsia="en-US"/>
        </w:rPr>
        <w:t>се односе</w:t>
      </w:r>
      <w:r w:rsidRPr="005767EF">
        <w:rPr>
          <w:rFonts w:asciiTheme="minorHAnsi" w:eastAsiaTheme="minorHAnsi" w:hAnsiTheme="minorHAnsi"/>
          <w:bCs/>
          <w:sz w:val="20"/>
          <w:szCs w:val="20"/>
          <w:lang w:val="sr-Cyrl-BA" w:eastAsia="en-US"/>
        </w:rPr>
        <w:t xml:space="preserve"> на</w:t>
      </w:r>
      <w:r w:rsidR="00910D8B">
        <w:rPr>
          <w:rFonts w:asciiTheme="minorHAnsi" w:eastAsiaTheme="minorHAnsi" w:hAnsiTheme="minorHAnsi"/>
          <w:bCs/>
          <w:sz w:val="20"/>
          <w:szCs w:val="20"/>
          <w:lang w:val="sr-Cyrl-BA" w:eastAsia="en-US"/>
        </w:rPr>
        <w:t>:</w:t>
      </w:r>
      <w:r w:rsidRPr="005767EF">
        <w:rPr>
          <w:rFonts w:asciiTheme="minorHAnsi" w:eastAsiaTheme="minorHAnsi" w:hAnsiTheme="minorHAnsi"/>
          <w:bCs/>
          <w:sz w:val="20"/>
          <w:szCs w:val="20"/>
          <w:lang w:val="sr-Cyrl-BA" w:eastAsia="en-US"/>
        </w:rPr>
        <w:t xml:space="preserve"> рефундације Фонда здравственог и инвалидског осигурања Републике Српске за болов</w:t>
      </w:r>
      <w:r w:rsidR="00910D8B">
        <w:rPr>
          <w:rFonts w:asciiTheme="minorHAnsi" w:eastAsiaTheme="minorHAnsi" w:hAnsiTheme="minorHAnsi"/>
          <w:bCs/>
          <w:sz w:val="20"/>
          <w:szCs w:val="20"/>
          <w:lang w:val="sr-Cyrl-BA" w:eastAsia="en-US"/>
        </w:rPr>
        <w:t>ања радника и породиљски допуст, приходе од продаје основних средстава, приход од отписа обавеза и остале ванредне приходе.</w:t>
      </w:r>
    </w:p>
    <w:p w14:paraId="176C5386" w14:textId="77777777" w:rsidR="00617810" w:rsidRPr="005767EF" w:rsidRDefault="00617810" w:rsidP="00013EC5">
      <w:pPr>
        <w:autoSpaceDE w:val="0"/>
        <w:autoSpaceDN w:val="0"/>
        <w:adjustRightInd w:val="0"/>
        <w:rPr>
          <w:rFonts w:asciiTheme="minorHAnsi" w:eastAsiaTheme="minorHAnsi" w:hAnsiTheme="minorHAnsi"/>
          <w:bCs/>
          <w:sz w:val="20"/>
          <w:szCs w:val="20"/>
          <w:lang w:val="sr-Cyrl-BA" w:eastAsia="en-US"/>
        </w:rPr>
      </w:pPr>
    </w:p>
    <w:p w14:paraId="31CD0A35" w14:textId="77777777" w:rsidR="005B2B10" w:rsidRPr="005767EF" w:rsidRDefault="005B2B10" w:rsidP="00013EC5">
      <w:pPr>
        <w:autoSpaceDE w:val="0"/>
        <w:autoSpaceDN w:val="0"/>
        <w:adjustRightInd w:val="0"/>
        <w:rPr>
          <w:rFonts w:asciiTheme="minorHAnsi" w:eastAsiaTheme="minorHAnsi" w:hAnsiTheme="minorHAnsi"/>
          <w:bCs/>
          <w:sz w:val="20"/>
          <w:szCs w:val="20"/>
          <w:lang w:val="sr-Cyrl-BA" w:eastAsia="en-US"/>
        </w:rPr>
      </w:pPr>
      <w:r w:rsidRPr="005767EF">
        <w:rPr>
          <w:rFonts w:asciiTheme="minorHAnsi" w:eastAsiaTheme="minorHAnsi" w:hAnsiTheme="minorHAnsi"/>
          <w:bCs/>
          <w:sz w:val="20"/>
          <w:szCs w:val="20"/>
          <w:lang w:val="sr-Cyrl-BA" w:eastAsia="en-US"/>
        </w:rPr>
        <w:t>Ако посматрамо план остварења прихода за 2023. годину, на већини позиција је видљиво значајно одступање, односно остварење у мањем износу од планираног. Највеће одступање је примјетно у реализацији плана прихода од премија и провизија, те</w:t>
      </w:r>
      <w:r w:rsidR="00617810" w:rsidRPr="005767EF">
        <w:rPr>
          <w:rFonts w:asciiTheme="minorHAnsi" w:eastAsiaTheme="minorHAnsi" w:hAnsiTheme="minorHAnsi"/>
          <w:bCs/>
          <w:sz w:val="20"/>
          <w:szCs w:val="20"/>
          <w:lang w:val="sr-Cyrl-BA" w:eastAsia="en-US"/>
        </w:rPr>
        <w:t xml:space="preserve"> на позицији приход</w:t>
      </w:r>
      <w:r w:rsidRPr="005767EF">
        <w:rPr>
          <w:rFonts w:asciiTheme="minorHAnsi" w:eastAsiaTheme="minorHAnsi" w:hAnsiTheme="minorHAnsi"/>
          <w:bCs/>
          <w:sz w:val="20"/>
          <w:szCs w:val="20"/>
          <w:lang w:val="sr-Cyrl-BA" w:eastAsia="en-US"/>
        </w:rPr>
        <w:t xml:space="preserve">а од укидања резервисања. Одступање од плана прихода од премија и провизија је у директној вези са чињеницом да није реализован план </w:t>
      </w:r>
      <w:r w:rsidR="00B5068E">
        <w:rPr>
          <w:rFonts w:asciiTheme="minorHAnsi" w:eastAsiaTheme="minorHAnsi" w:hAnsiTheme="minorHAnsi"/>
          <w:bCs/>
          <w:sz w:val="20"/>
          <w:szCs w:val="20"/>
          <w:lang w:val="sr-Cyrl-BA" w:eastAsia="en-US"/>
        </w:rPr>
        <w:t xml:space="preserve">гаранција из редовне активности. </w:t>
      </w:r>
      <w:r w:rsidR="00617810" w:rsidRPr="005767EF">
        <w:rPr>
          <w:rFonts w:asciiTheme="minorHAnsi" w:eastAsiaTheme="minorHAnsi" w:hAnsiTheme="minorHAnsi"/>
          <w:bCs/>
          <w:sz w:val="20"/>
          <w:szCs w:val="20"/>
          <w:lang w:val="sr-Cyrl-BA" w:eastAsia="en-US"/>
        </w:rPr>
        <w:t>Неиспуњење плана издавања појединачних гаранција</w:t>
      </w:r>
      <w:r w:rsidRPr="005767EF">
        <w:rPr>
          <w:rFonts w:asciiTheme="minorHAnsi" w:eastAsiaTheme="minorHAnsi" w:hAnsiTheme="minorHAnsi"/>
          <w:bCs/>
          <w:sz w:val="20"/>
          <w:szCs w:val="20"/>
          <w:lang w:val="sr-Cyrl-BA" w:eastAsia="en-US"/>
        </w:rPr>
        <w:t xml:space="preserve"> </w:t>
      </w:r>
      <w:r w:rsidR="00617810" w:rsidRPr="005767EF">
        <w:rPr>
          <w:rFonts w:asciiTheme="minorHAnsi" w:eastAsiaTheme="minorHAnsi" w:hAnsiTheme="minorHAnsi"/>
          <w:bCs/>
          <w:sz w:val="20"/>
          <w:szCs w:val="20"/>
          <w:lang w:val="sr-Cyrl-BA" w:eastAsia="en-US"/>
        </w:rPr>
        <w:t>је једним дијелом узроковано</w:t>
      </w:r>
      <w:r w:rsidRPr="005767EF">
        <w:rPr>
          <w:rFonts w:asciiTheme="minorHAnsi" w:eastAsiaTheme="minorHAnsi" w:hAnsiTheme="minorHAnsi"/>
          <w:bCs/>
          <w:sz w:val="20"/>
          <w:szCs w:val="20"/>
          <w:lang w:val="sr-Cyrl-BA" w:eastAsia="en-US"/>
        </w:rPr>
        <w:t xml:space="preserve"> већом заинтересованошћу финансијских посредника за гаранције из кредитног портфеља</w:t>
      </w:r>
      <w:r w:rsidR="00617810" w:rsidRPr="005767EF">
        <w:rPr>
          <w:rFonts w:asciiTheme="minorHAnsi" w:eastAsiaTheme="minorHAnsi" w:hAnsiTheme="minorHAnsi"/>
          <w:bCs/>
          <w:sz w:val="20"/>
          <w:szCs w:val="20"/>
          <w:lang w:val="sr-Cyrl-BA" w:eastAsia="en-US"/>
        </w:rPr>
        <w:t>. Током 2023. године је била примјетна оријентација на гаранције у оквиру кредитног портфеља. Узрок томе су бржа и једноставнија процедура издавања гаранција, ниже</w:t>
      </w:r>
      <w:r w:rsidRPr="005767EF">
        <w:rPr>
          <w:rFonts w:asciiTheme="minorHAnsi" w:eastAsiaTheme="minorHAnsi" w:hAnsiTheme="minorHAnsi"/>
          <w:bCs/>
          <w:sz w:val="20"/>
          <w:szCs w:val="20"/>
          <w:lang w:val="sr-Cyrl-BA" w:eastAsia="en-US"/>
        </w:rPr>
        <w:t xml:space="preserve"> стопе премиј</w:t>
      </w:r>
      <w:r w:rsidR="00617810" w:rsidRPr="005767EF">
        <w:rPr>
          <w:rFonts w:asciiTheme="minorHAnsi" w:eastAsiaTheme="minorHAnsi" w:hAnsiTheme="minorHAnsi"/>
          <w:bCs/>
          <w:sz w:val="20"/>
          <w:szCs w:val="20"/>
          <w:lang w:val="sr-Cyrl-BA" w:eastAsia="en-US"/>
        </w:rPr>
        <w:t>а и мањи трошак за клијента.</w:t>
      </w:r>
    </w:p>
    <w:p w14:paraId="220D5485" w14:textId="77777777" w:rsidR="00F731FD" w:rsidRPr="005767EF" w:rsidRDefault="00F731FD" w:rsidP="00013EC5">
      <w:pPr>
        <w:autoSpaceDE w:val="0"/>
        <w:autoSpaceDN w:val="0"/>
        <w:adjustRightInd w:val="0"/>
        <w:rPr>
          <w:rFonts w:asciiTheme="minorHAnsi" w:eastAsiaTheme="minorHAnsi" w:hAnsiTheme="minorHAnsi"/>
          <w:bCs/>
          <w:sz w:val="20"/>
          <w:szCs w:val="20"/>
          <w:lang w:val="sr-Cyrl-BA" w:eastAsia="en-US"/>
        </w:rPr>
      </w:pPr>
    </w:p>
    <w:p w14:paraId="74702DCE" w14:textId="77777777" w:rsidR="00D83063" w:rsidRPr="005767EF" w:rsidRDefault="00D83063" w:rsidP="001538EF">
      <w:pPr>
        <w:autoSpaceDE w:val="0"/>
        <w:autoSpaceDN w:val="0"/>
        <w:adjustRightInd w:val="0"/>
        <w:jc w:val="left"/>
        <w:rPr>
          <w:rFonts w:asciiTheme="minorHAnsi" w:eastAsiaTheme="minorHAnsi" w:hAnsiTheme="minorHAnsi"/>
          <w:sz w:val="20"/>
          <w:szCs w:val="20"/>
          <w:lang w:val="sr-Cyrl-RS" w:eastAsia="en-US"/>
        </w:rPr>
      </w:pPr>
    </w:p>
    <w:p w14:paraId="0E9A4095" w14:textId="77777777" w:rsidR="001538EF" w:rsidRPr="00EE16CE" w:rsidRDefault="00E84021" w:rsidP="00910D8B">
      <w:pPr>
        <w:pStyle w:val="Heading2"/>
        <w:numPr>
          <w:ilvl w:val="0"/>
          <w:numId w:val="0"/>
        </w:numPr>
        <w:rPr>
          <w:rFonts w:asciiTheme="minorHAnsi" w:hAnsiTheme="minorHAnsi"/>
          <w:szCs w:val="20"/>
          <w:lang w:val="sr-Cyrl-RS"/>
        </w:rPr>
      </w:pPr>
      <w:bookmarkStart w:id="13" w:name="_Toc135292176"/>
      <w:r>
        <w:rPr>
          <w:rFonts w:asciiTheme="minorHAnsi" w:hAnsiTheme="minorHAnsi"/>
          <w:szCs w:val="20"/>
          <w:lang w:val="sr-Cyrl-RS"/>
        </w:rPr>
        <w:t xml:space="preserve">3.2 </w:t>
      </w:r>
      <w:r w:rsidR="001538EF" w:rsidRPr="005767EF">
        <w:rPr>
          <w:rFonts w:asciiTheme="minorHAnsi" w:hAnsiTheme="minorHAnsi"/>
          <w:szCs w:val="20"/>
        </w:rPr>
        <w:t>АНАЛИЗ</w:t>
      </w:r>
      <w:r w:rsidR="00EE16CE">
        <w:rPr>
          <w:rFonts w:asciiTheme="minorHAnsi" w:hAnsiTheme="minorHAnsi"/>
          <w:szCs w:val="20"/>
        </w:rPr>
        <w:t xml:space="preserve">А ОСТВАРЕНИХ РАСХОДА </w:t>
      </w:r>
      <w:r w:rsidR="00EE16CE">
        <w:rPr>
          <w:rFonts w:asciiTheme="minorHAnsi" w:hAnsiTheme="minorHAnsi"/>
          <w:szCs w:val="20"/>
          <w:lang w:val="sr-Cyrl-RS"/>
        </w:rPr>
        <w:t>У</w:t>
      </w:r>
      <w:r w:rsidR="001538EF" w:rsidRPr="005767EF">
        <w:rPr>
          <w:rFonts w:asciiTheme="minorHAnsi" w:hAnsiTheme="minorHAnsi"/>
          <w:szCs w:val="20"/>
        </w:rPr>
        <w:t xml:space="preserve"> 202</w:t>
      </w:r>
      <w:r w:rsidR="00E153D1" w:rsidRPr="005767EF">
        <w:rPr>
          <w:rFonts w:asciiTheme="minorHAnsi" w:hAnsiTheme="minorHAnsi"/>
          <w:szCs w:val="20"/>
          <w:lang w:val="bs-Latn-BA"/>
        </w:rPr>
        <w:t>3</w:t>
      </w:r>
      <w:r w:rsidR="001538EF" w:rsidRPr="005767EF">
        <w:rPr>
          <w:rFonts w:asciiTheme="minorHAnsi" w:hAnsiTheme="minorHAnsi"/>
          <w:szCs w:val="20"/>
        </w:rPr>
        <w:t>. ГОДИН</w:t>
      </w:r>
      <w:bookmarkEnd w:id="13"/>
      <w:r w:rsidR="005D0BE8">
        <w:rPr>
          <w:rFonts w:asciiTheme="minorHAnsi" w:hAnsiTheme="minorHAnsi"/>
          <w:szCs w:val="20"/>
          <w:lang w:val="sr-Cyrl-RS"/>
        </w:rPr>
        <w:t>И</w:t>
      </w:r>
    </w:p>
    <w:p w14:paraId="4EAC5AA3" w14:textId="77777777" w:rsidR="001538EF" w:rsidRPr="005767EF" w:rsidRDefault="001538EF" w:rsidP="001538EF">
      <w:pPr>
        <w:rPr>
          <w:rFonts w:asciiTheme="minorHAnsi" w:hAnsiTheme="minorHAnsi"/>
          <w:sz w:val="20"/>
          <w:szCs w:val="20"/>
          <w:lang w:val="sr-Cyrl-CS" w:eastAsia="sr-Cyrl-CS"/>
        </w:rPr>
      </w:pPr>
    </w:p>
    <w:p w14:paraId="451DF622" w14:textId="77777777" w:rsidR="001538EF" w:rsidRPr="005767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остварених расхода пословања у 202</w:t>
      </w:r>
      <w:r w:rsidR="00E153D1" w:rsidRPr="005767EF">
        <w:rPr>
          <w:rFonts w:asciiTheme="minorHAnsi" w:hAnsiTheme="minorHAnsi"/>
          <w:b/>
          <w:sz w:val="20"/>
          <w:szCs w:val="20"/>
          <w:lang w:eastAsia="sr-Cyrl-CS"/>
        </w:rPr>
        <w:t>3</w:t>
      </w:r>
      <w:r w:rsidRPr="005767EF">
        <w:rPr>
          <w:rFonts w:asciiTheme="minorHAnsi" w:hAnsiTheme="minorHAnsi"/>
          <w:b/>
          <w:sz w:val="20"/>
          <w:szCs w:val="20"/>
          <w:lang w:val="sr-Cyrl-CS" w:eastAsia="sr-Cyrl-CS"/>
        </w:rPr>
        <w:t>. години</w:t>
      </w:r>
    </w:p>
    <w:p w14:paraId="297844CE" w14:textId="77777777" w:rsidR="001538EF" w:rsidRPr="005767EF" w:rsidRDefault="001538EF" w:rsidP="001538EF">
      <w:pPr>
        <w:rPr>
          <w:rFonts w:asciiTheme="minorHAnsi" w:hAnsiTheme="minorHAnsi"/>
          <w:b/>
          <w:sz w:val="20"/>
          <w:szCs w:val="20"/>
          <w:lang w:val="sr-Cyrl-BA" w:eastAsia="sr-Cyrl-CS"/>
        </w:rPr>
      </w:pPr>
    </w:p>
    <w:p w14:paraId="05F44D22" w14:textId="77777777" w:rsidR="001538EF" w:rsidRPr="005767EF" w:rsidRDefault="001538EF" w:rsidP="00617810">
      <w:pPr>
        <w:ind w:left="7788"/>
        <w:rPr>
          <w:rFonts w:asciiTheme="minorHAnsi" w:hAnsiTheme="minorHAnsi"/>
          <w:b/>
          <w:sz w:val="20"/>
          <w:szCs w:val="20"/>
          <w:lang w:val="sr-Cyrl-BA" w:eastAsia="sr-Cyrl-CS"/>
        </w:rPr>
      </w:pPr>
      <w:r w:rsidRPr="005767EF">
        <w:rPr>
          <w:rFonts w:asciiTheme="minorHAnsi" w:hAnsiTheme="minorHAnsi"/>
          <w:b/>
          <w:sz w:val="20"/>
          <w:szCs w:val="20"/>
          <w:lang w:val="sr-Cyrl-BA" w:eastAsia="sr-Cyrl-CS"/>
        </w:rPr>
        <w:t xml:space="preserve">                   </w:t>
      </w:r>
      <w:r w:rsidR="00617810" w:rsidRPr="005767EF">
        <w:rPr>
          <w:rFonts w:asciiTheme="minorHAnsi" w:hAnsiTheme="minorHAnsi"/>
          <w:b/>
          <w:sz w:val="20"/>
          <w:szCs w:val="20"/>
          <w:lang w:val="sr-Cyrl-BA" w:eastAsia="sr-Cyrl-CS"/>
        </w:rPr>
        <w:t xml:space="preserve"> </w:t>
      </w:r>
      <w:r w:rsidR="00910D8B">
        <w:rPr>
          <w:rFonts w:asciiTheme="minorHAnsi" w:hAnsiTheme="minorHAnsi"/>
          <w:b/>
          <w:sz w:val="20"/>
          <w:szCs w:val="20"/>
          <w:lang w:val="sr-Cyrl-BA" w:eastAsia="sr-Cyrl-CS"/>
        </w:rPr>
        <w:t xml:space="preserve">   </w:t>
      </w:r>
      <w:r w:rsidR="00A43C1F">
        <w:rPr>
          <w:rFonts w:asciiTheme="minorHAnsi" w:hAnsiTheme="minorHAnsi"/>
          <w:b/>
          <w:sz w:val="20"/>
          <w:szCs w:val="20"/>
          <w:lang w:val="sr-Cyrl-BA" w:eastAsia="sr-Cyrl-CS"/>
        </w:rPr>
        <w:t xml:space="preserve">       </w:t>
      </w:r>
      <w:r w:rsidR="00617810" w:rsidRPr="005767EF">
        <w:rPr>
          <w:rFonts w:asciiTheme="minorHAnsi" w:hAnsiTheme="minorHAnsi"/>
          <w:b/>
          <w:sz w:val="20"/>
          <w:szCs w:val="20"/>
          <w:lang w:val="sr-Cyrl-BA" w:eastAsia="sr-Cyrl-CS"/>
        </w:rPr>
        <w:t>Табела 2</w:t>
      </w:r>
      <w:r w:rsidR="00910D8B">
        <w:rPr>
          <w:rFonts w:asciiTheme="minorHAnsi" w:hAnsiTheme="minorHAnsi"/>
          <w:b/>
          <w:sz w:val="20"/>
          <w:szCs w:val="20"/>
          <w:lang w:val="sr-Cyrl-BA" w:eastAsia="sr-Cyrl-CS"/>
        </w:rPr>
        <w:t>3</w:t>
      </w:r>
    </w:p>
    <w:tbl>
      <w:tblPr>
        <w:tblW w:w="8940" w:type="dxa"/>
        <w:tblInd w:w="93" w:type="dxa"/>
        <w:tblLook w:val="04A0" w:firstRow="1" w:lastRow="0" w:firstColumn="1" w:lastColumn="0" w:noHBand="0" w:noVBand="1"/>
      </w:tblPr>
      <w:tblGrid>
        <w:gridCol w:w="880"/>
        <w:gridCol w:w="4320"/>
        <w:gridCol w:w="1340"/>
        <w:gridCol w:w="1320"/>
        <w:gridCol w:w="1080"/>
      </w:tblGrid>
      <w:tr w:rsidR="00553AEA" w:rsidRPr="00553AEA" w14:paraId="41BF341D" w14:textId="77777777" w:rsidTr="009634B9">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083FD0F8"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Конто</w:t>
            </w:r>
          </w:p>
        </w:tc>
        <w:tc>
          <w:tcPr>
            <w:tcW w:w="4320" w:type="dxa"/>
            <w:tcBorders>
              <w:top w:val="single" w:sz="8" w:space="0" w:color="auto"/>
              <w:left w:val="nil"/>
              <w:bottom w:val="nil"/>
              <w:right w:val="single" w:sz="8" w:space="0" w:color="auto"/>
            </w:tcBorders>
            <w:shd w:val="clear" w:color="000000" w:fill="8DB4E2"/>
            <w:vAlign w:val="center"/>
            <w:hideMark/>
          </w:tcPr>
          <w:p w14:paraId="134075BD"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Назив</w:t>
            </w:r>
          </w:p>
        </w:tc>
        <w:tc>
          <w:tcPr>
            <w:tcW w:w="1340" w:type="dxa"/>
            <w:tcBorders>
              <w:top w:val="single" w:sz="8" w:space="0" w:color="auto"/>
              <w:left w:val="nil"/>
              <w:bottom w:val="nil"/>
              <w:right w:val="single" w:sz="8" w:space="0" w:color="auto"/>
            </w:tcBorders>
            <w:shd w:val="clear" w:color="000000" w:fill="8DB4E2"/>
            <w:vAlign w:val="center"/>
            <w:hideMark/>
          </w:tcPr>
          <w:p w14:paraId="2AF19D9E"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Планирано у 2023. години</w:t>
            </w:r>
          </w:p>
        </w:tc>
        <w:tc>
          <w:tcPr>
            <w:tcW w:w="1320" w:type="dxa"/>
            <w:tcBorders>
              <w:top w:val="single" w:sz="8" w:space="0" w:color="auto"/>
              <w:left w:val="nil"/>
              <w:bottom w:val="nil"/>
              <w:right w:val="single" w:sz="8" w:space="0" w:color="auto"/>
            </w:tcBorders>
            <w:shd w:val="clear" w:color="000000" w:fill="8DB4E2"/>
            <w:vAlign w:val="center"/>
            <w:hideMark/>
          </w:tcPr>
          <w:p w14:paraId="12387498"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Остварено у 2023. години</w:t>
            </w:r>
          </w:p>
        </w:tc>
        <w:tc>
          <w:tcPr>
            <w:tcW w:w="1080" w:type="dxa"/>
            <w:tcBorders>
              <w:top w:val="single" w:sz="8" w:space="0" w:color="auto"/>
              <w:left w:val="nil"/>
              <w:bottom w:val="nil"/>
              <w:right w:val="single" w:sz="8" w:space="0" w:color="auto"/>
            </w:tcBorders>
            <w:shd w:val="clear" w:color="000000" w:fill="8DB4E2"/>
            <w:noWrap/>
            <w:vAlign w:val="center"/>
            <w:hideMark/>
          </w:tcPr>
          <w:p w14:paraId="1ADD958E" w14:textId="77777777" w:rsidR="00553AEA" w:rsidRPr="00553AEA" w:rsidRDefault="00553AEA" w:rsidP="00553AEA">
            <w:pPr>
              <w:jc w:val="center"/>
              <w:rPr>
                <w:rFonts w:ascii="Calibri" w:hAnsi="Calibri"/>
                <w:b/>
                <w:sz w:val="20"/>
                <w:szCs w:val="20"/>
              </w:rPr>
            </w:pPr>
            <w:r w:rsidRPr="00553AEA">
              <w:rPr>
                <w:rFonts w:ascii="Calibri" w:hAnsi="Calibri"/>
                <w:b/>
                <w:sz w:val="20"/>
                <w:szCs w:val="20"/>
                <w:lang w:val="sr-Latn-RS"/>
              </w:rPr>
              <w:t>Индекс</w:t>
            </w:r>
          </w:p>
        </w:tc>
      </w:tr>
      <w:tr w:rsidR="00553AEA" w:rsidRPr="00553AEA" w14:paraId="079EB764" w14:textId="77777777" w:rsidTr="009634B9">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F19F8"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1</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12D42C58"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2</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0B5D8FF"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RS"/>
              </w:rPr>
              <w:t>3</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B52B536"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FE94C8" w14:textId="77777777" w:rsidR="00553AEA" w:rsidRPr="00553AEA" w:rsidRDefault="00553AEA" w:rsidP="00553AEA">
            <w:pPr>
              <w:jc w:val="center"/>
              <w:rPr>
                <w:rFonts w:ascii="Calibri" w:hAnsi="Calibri"/>
                <w:b/>
                <w:sz w:val="20"/>
                <w:szCs w:val="20"/>
              </w:rPr>
            </w:pPr>
            <w:r w:rsidRPr="00553AEA">
              <w:rPr>
                <w:rFonts w:ascii="Calibri" w:hAnsi="Calibri"/>
                <w:b/>
                <w:sz w:val="20"/>
                <w:szCs w:val="20"/>
                <w:lang w:val="sr-Cyrl-RS"/>
              </w:rPr>
              <w:t>5</w:t>
            </w:r>
          </w:p>
        </w:tc>
      </w:tr>
      <w:tr w:rsidR="00553AEA" w:rsidRPr="00553AEA" w14:paraId="508C94AD"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EEE3F2F"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60</w:t>
            </w:r>
          </w:p>
        </w:tc>
        <w:tc>
          <w:tcPr>
            <w:tcW w:w="4320" w:type="dxa"/>
            <w:tcBorders>
              <w:top w:val="nil"/>
              <w:left w:val="nil"/>
              <w:bottom w:val="single" w:sz="4" w:space="0" w:color="auto"/>
              <w:right w:val="single" w:sz="4" w:space="0" w:color="auto"/>
            </w:tcBorders>
            <w:shd w:val="clear" w:color="auto" w:fill="auto"/>
            <w:vAlign w:val="center"/>
            <w:hideMark/>
          </w:tcPr>
          <w:p w14:paraId="44FACF55" w14:textId="77777777" w:rsidR="00553AEA" w:rsidRPr="00553AEA" w:rsidRDefault="00553AEA" w:rsidP="00553AEA">
            <w:pPr>
              <w:jc w:val="left"/>
              <w:rPr>
                <w:rFonts w:ascii="Calibri" w:hAnsi="Calibri"/>
                <w:sz w:val="20"/>
                <w:szCs w:val="20"/>
              </w:rPr>
            </w:pPr>
            <w:r w:rsidRPr="00553AEA">
              <w:rPr>
                <w:rFonts w:ascii="Calibri" w:hAnsi="Calibri"/>
                <w:sz w:val="20"/>
                <w:szCs w:val="20"/>
                <w:lang w:val="sr-Cyrl-BA"/>
              </w:rPr>
              <w:t>Расходи камата</w:t>
            </w:r>
          </w:p>
        </w:tc>
        <w:tc>
          <w:tcPr>
            <w:tcW w:w="1340" w:type="dxa"/>
            <w:tcBorders>
              <w:top w:val="nil"/>
              <w:left w:val="nil"/>
              <w:bottom w:val="single" w:sz="4" w:space="0" w:color="auto"/>
              <w:right w:val="single" w:sz="4" w:space="0" w:color="auto"/>
            </w:tcBorders>
            <w:shd w:val="clear" w:color="auto" w:fill="auto"/>
            <w:noWrap/>
            <w:vAlign w:val="center"/>
            <w:hideMark/>
          </w:tcPr>
          <w:p w14:paraId="64F0C106"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 </w:t>
            </w:r>
          </w:p>
        </w:tc>
        <w:tc>
          <w:tcPr>
            <w:tcW w:w="1320" w:type="dxa"/>
            <w:tcBorders>
              <w:top w:val="nil"/>
              <w:left w:val="nil"/>
              <w:bottom w:val="single" w:sz="4" w:space="0" w:color="auto"/>
              <w:right w:val="single" w:sz="4" w:space="0" w:color="auto"/>
            </w:tcBorders>
            <w:shd w:val="clear" w:color="auto" w:fill="auto"/>
            <w:noWrap/>
            <w:vAlign w:val="center"/>
            <w:hideMark/>
          </w:tcPr>
          <w:p w14:paraId="0329F885"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273.319,78</w:t>
            </w:r>
          </w:p>
        </w:tc>
        <w:tc>
          <w:tcPr>
            <w:tcW w:w="1080" w:type="dxa"/>
            <w:tcBorders>
              <w:top w:val="nil"/>
              <w:left w:val="nil"/>
              <w:bottom w:val="single" w:sz="4" w:space="0" w:color="auto"/>
              <w:right w:val="single" w:sz="4" w:space="0" w:color="auto"/>
            </w:tcBorders>
            <w:shd w:val="clear" w:color="auto" w:fill="auto"/>
            <w:noWrap/>
            <w:vAlign w:val="center"/>
            <w:hideMark/>
          </w:tcPr>
          <w:p w14:paraId="7C2FCB06"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 </w:t>
            </w:r>
          </w:p>
        </w:tc>
      </w:tr>
      <w:tr w:rsidR="00553AEA" w:rsidRPr="00553AEA" w14:paraId="37CDEB8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C308631"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610</w:t>
            </w:r>
          </w:p>
        </w:tc>
        <w:tc>
          <w:tcPr>
            <w:tcW w:w="4320" w:type="dxa"/>
            <w:tcBorders>
              <w:top w:val="nil"/>
              <w:left w:val="nil"/>
              <w:bottom w:val="single" w:sz="4" w:space="0" w:color="auto"/>
              <w:right w:val="single" w:sz="4" w:space="0" w:color="auto"/>
            </w:tcBorders>
            <w:shd w:val="clear" w:color="auto" w:fill="auto"/>
            <w:vAlign w:val="center"/>
            <w:hideMark/>
          </w:tcPr>
          <w:p w14:paraId="2C98DB5F" w14:textId="77777777" w:rsidR="00553AEA" w:rsidRPr="00553AEA" w:rsidRDefault="00553AEA" w:rsidP="00553AEA">
            <w:pPr>
              <w:jc w:val="left"/>
              <w:rPr>
                <w:rFonts w:ascii="Calibri" w:hAnsi="Calibri"/>
                <w:sz w:val="20"/>
                <w:szCs w:val="20"/>
              </w:rPr>
            </w:pPr>
            <w:r w:rsidRPr="00553AEA">
              <w:rPr>
                <w:rFonts w:ascii="Calibri" w:hAnsi="Calibri"/>
                <w:sz w:val="20"/>
                <w:szCs w:val="20"/>
                <w:lang w:val="sr-Cyrl-BA"/>
              </w:rPr>
              <w:t>Расходи накнада у домаћој валути</w:t>
            </w:r>
          </w:p>
        </w:tc>
        <w:tc>
          <w:tcPr>
            <w:tcW w:w="1340" w:type="dxa"/>
            <w:tcBorders>
              <w:top w:val="nil"/>
              <w:left w:val="nil"/>
              <w:bottom w:val="single" w:sz="4" w:space="0" w:color="auto"/>
              <w:right w:val="single" w:sz="4" w:space="0" w:color="auto"/>
            </w:tcBorders>
            <w:shd w:val="clear" w:color="auto" w:fill="auto"/>
            <w:noWrap/>
            <w:vAlign w:val="center"/>
            <w:hideMark/>
          </w:tcPr>
          <w:p w14:paraId="7F248F9E"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lang w:val="sr-Cyrl-BA"/>
              </w:rPr>
              <w:t>7.500,00</w:t>
            </w:r>
          </w:p>
        </w:tc>
        <w:tc>
          <w:tcPr>
            <w:tcW w:w="1320" w:type="dxa"/>
            <w:tcBorders>
              <w:top w:val="nil"/>
              <w:left w:val="nil"/>
              <w:bottom w:val="single" w:sz="4" w:space="0" w:color="auto"/>
              <w:right w:val="single" w:sz="4" w:space="0" w:color="auto"/>
            </w:tcBorders>
            <w:shd w:val="clear" w:color="auto" w:fill="auto"/>
            <w:noWrap/>
            <w:vAlign w:val="center"/>
            <w:hideMark/>
          </w:tcPr>
          <w:p w14:paraId="38A6A4DF"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7.777,60</w:t>
            </w:r>
          </w:p>
        </w:tc>
        <w:tc>
          <w:tcPr>
            <w:tcW w:w="1080" w:type="dxa"/>
            <w:tcBorders>
              <w:top w:val="nil"/>
              <w:left w:val="nil"/>
              <w:bottom w:val="single" w:sz="4" w:space="0" w:color="auto"/>
              <w:right w:val="single" w:sz="4" w:space="0" w:color="auto"/>
            </w:tcBorders>
            <w:shd w:val="clear" w:color="auto" w:fill="auto"/>
            <w:noWrap/>
            <w:vAlign w:val="center"/>
            <w:hideMark/>
          </w:tcPr>
          <w:p w14:paraId="6C0FDE3E"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103,70</w:t>
            </w:r>
          </w:p>
        </w:tc>
      </w:tr>
      <w:tr w:rsidR="00553AEA" w:rsidRPr="00553AEA" w14:paraId="25FBC5B7" w14:textId="77777777" w:rsidTr="009634B9">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1D28A50" w14:textId="77777777" w:rsidR="00553AEA" w:rsidRPr="00553AEA" w:rsidRDefault="00553AEA" w:rsidP="00553AEA">
            <w:pPr>
              <w:jc w:val="center"/>
              <w:rPr>
                <w:rFonts w:ascii="Calibri" w:hAnsi="Calibri"/>
                <w:b/>
                <w:sz w:val="20"/>
                <w:szCs w:val="20"/>
              </w:rPr>
            </w:pPr>
            <w:r w:rsidRPr="00553AEA">
              <w:rPr>
                <w:rFonts w:ascii="Calibri" w:hAnsi="Calibri"/>
                <w:b/>
                <w:sz w:val="20"/>
                <w:szCs w:val="20"/>
                <w:lang w:val="sr-Latn-RS"/>
              </w:rPr>
              <w:t>6410</w:t>
            </w:r>
          </w:p>
        </w:tc>
        <w:tc>
          <w:tcPr>
            <w:tcW w:w="4320" w:type="dxa"/>
            <w:tcBorders>
              <w:top w:val="nil"/>
              <w:left w:val="nil"/>
              <w:bottom w:val="single" w:sz="4" w:space="0" w:color="auto"/>
              <w:right w:val="single" w:sz="4" w:space="0" w:color="auto"/>
            </w:tcBorders>
            <w:shd w:val="clear" w:color="auto" w:fill="auto"/>
            <w:vAlign w:val="center"/>
            <w:hideMark/>
          </w:tcPr>
          <w:p w14:paraId="35111633"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Расходи резервисања по ванбилансној активи</w:t>
            </w:r>
          </w:p>
        </w:tc>
        <w:tc>
          <w:tcPr>
            <w:tcW w:w="1340" w:type="dxa"/>
            <w:tcBorders>
              <w:top w:val="nil"/>
              <w:left w:val="nil"/>
              <w:bottom w:val="single" w:sz="4" w:space="0" w:color="auto"/>
              <w:right w:val="single" w:sz="4" w:space="0" w:color="auto"/>
            </w:tcBorders>
            <w:shd w:val="clear" w:color="auto" w:fill="auto"/>
            <w:noWrap/>
            <w:vAlign w:val="center"/>
            <w:hideMark/>
          </w:tcPr>
          <w:p w14:paraId="6B8D752C"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lang w:val="sr-Cyrl-BA"/>
              </w:rPr>
              <w:t>200.000,00</w:t>
            </w:r>
          </w:p>
        </w:tc>
        <w:tc>
          <w:tcPr>
            <w:tcW w:w="1320" w:type="dxa"/>
            <w:tcBorders>
              <w:top w:val="nil"/>
              <w:left w:val="nil"/>
              <w:bottom w:val="single" w:sz="4" w:space="0" w:color="auto"/>
              <w:right w:val="single" w:sz="4" w:space="0" w:color="auto"/>
            </w:tcBorders>
            <w:shd w:val="clear" w:color="auto" w:fill="auto"/>
            <w:noWrap/>
            <w:vAlign w:val="center"/>
            <w:hideMark/>
          </w:tcPr>
          <w:p w14:paraId="2CD5003D"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752.467,91</w:t>
            </w:r>
          </w:p>
        </w:tc>
        <w:tc>
          <w:tcPr>
            <w:tcW w:w="1080" w:type="dxa"/>
            <w:tcBorders>
              <w:top w:val="nil"/>
              <w:left w:val="nil"/>
              <w:bottom w:val="single" w:sz="4" w:space="0" w:color="auto"/>
              <w:right w:val="single" w:sz="4" w:space="0" w:color="auto"/>
            </w:tcBorders>
            <w:shd w:val="clear" w:color="auto" w:fill="auto"/>
            <w:noWrap/>
            <w:vAlign w:val="center"/>
            <w:hideMark/>
          </w:tcPr>
          <w:p w14:paraId="0276E354"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376,23</w:t>
            </w:r>
          </w:p>
        </w:tc>
      </w:tr>
      <w:tr w:rsidR="00553AEA" w:rsidRPr="00553AEA" w14:paraId="572AD110"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6DCB9CD" w14:textId="77777777" w:rsidR="00553AEA" w:rsidRPr="00553AEA" w:rsidRDefault="00553AEA" w:rsidP="00553AEA">
            <w:pPr>
              <w:jc w:val="center"/>
              <w:rPr>
                <w:rFonts w:ascii="Calibri" w:hAnsi="Calibri"/>
                <w:b/>
                <w:sz w:val="20"/>
                <w:szCs w:val="20"/>
              </w:rPr>
            </w:pPr>
            <w:r w:rsidRPr="00553AEA">
              <w:rPr>
                <w:rFonts w:ascii="Calibri" w:hAnsi="Calibri"/>
                <w:b/>
                <w:sz w:val="20"/>
                <w:szCs w:val="20"/>
              </w:rPr>
              <w:t>622</w:t>
            </w:r>
          </w:p>
        </w:tc>
        <w:tc>
          <w:tcPr>
            <w:tcW w:w="4320" w:type="dxa"/>
            <w:tcBorders>
              <w:top w:val="nil"/>
              <w:left w:val="nil"/>
              <w:bottom w:val="single" w:sz="4" w:space="0" w:color="auto"/>
              <w:right w:val="single" w:sz="4" w:space="0" w:color="auto"/>
            </w:tcBorders>
            <w:shd w:val="clear" w:color="auto" w:fill="auto"/>
            <w:vAlign w:val="center"/>
            <w:hideMark/>
          </w:tcPr>
          <w:p w14:paraId="1CD0C06C" w14:textId="77777777" w:rsidR="00553AEA" w:rsidRPr="00553AEA" w:rsidRDefault="00553AEA" w:rsidP="00553AEA">
            <w:pPr>
              <w:jc w:val="left"/>
              <w:rPr>
                <w:rFonts w:ascii="Calibri" w:hAnsi="Calibri"/>
                <w:sz w:val="20"/>
                <w:szCs w:val="20"/>
              </w:rPr>
            </w:pPr>
            <w:r w:rsidRPr="00553AEA">
              <w:rPr>
                <w:rFonts w:ascii="Calibri" w:hAnsi="Calibri"/>
                <w:sz w:val="20"/>
                <w:szCs w:val="20"/>
              </w:rPr>
              <w:t>Губици по основу престанка признавања финансијских средстава</w:t>
            </w:r>
          </w:p>
        </w:tc>
        <w:tc>
          <w:tcPr>
            <w:tcW w:w="1340" w:type="dxa"/>
            <w:tcBorders>
              <w:top w:val="nil"/>
              <w:left w:val="nil"/>
              <w:bottom w:val="single" w:sz="4" w:space="0" w:color="auto"/>
              <w:right w:val="single" w:sz="4" w:space="0" w:color="auto"/>
            </w:tcBorders>
            <w:shd w:val="clear" w:color="auto" w:fill="auto"/>
            <w:noWrap/>
            <w:vAlign w:val="center"/>
            <w:hideMark/>
          </w:tcPr>
          <w:p w14:paraId="0F72A5A3"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3C490CBF"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63.142,23</w:t>
            </w:r>
          </w:p>
        </w:tc>
        <w:tc>
          <w:tcPr>
            <w:tcW w:w="1080" w:type="dxa"/>
            <w:tcBorders>
              <w:top w:val="nil"/>
              <w:left w:val="nil"/>
              <w:bottom w:val="single" w:sz="4" w:space="0" w:color="auto"/>
              <w:right w:val="single" w:sz="4" w:space="0" w:color="auto"/>
            </w:tcBorders>
            <w:shd w:val="clear" w:color="auto" w:fill="auto"/>
            <w:noWrap/>
            <w:vAlign w:val="center"/>
            <w:hideMark/>
          </w:tcPr>
          <w:p w14:paraId="597ACD82" w14:textId="77777777" w:rsidR="00553AEA" w:rsidRPr="00553AEA" w:rsidRDefault="00553AEA" w:rsidP="00553AEA">
            <w:pPr>
              <w:jc w:val="center"/>
              <w:rPr>
                <w:rFonts w:ascii="Calibri" w:hAnsi="Calibri"/>
                <w:sz w:val="20"/>
                <w:szCs w:val="20"/>
              </w:rPr>
            </w:pPr>
            <w:r w:rsidRPr="00553AEA">
              <w:rPr>
                <w:rFonts w:ascii="Calibri" w:hAnsi="Calibri"/>
                <w:sz w:val="20"/>
                <w:szCs w:val="20"/>
              </w:rPr>
              <w:t> </w:t>
            </w:r>
          </w:p>
        </w:tc>
      </w:tr>
      <w:tr w:rsidR="00553AEA" w:rsidRPr="00553AEA" w14:paraId="4C81FE3C"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20A32EAD"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650</w:t>
            </w:r>
          </w:p>
        </w:tc>
        <w:tc>
          <w:tcPr>
            <w:tcW w:w="4320" w:type="dxa"/>
            <w:tcBorders>
              <w:top w:val="nil"/>
              <w:left w:val="nil"/>
              <w:bottom w:val="single" w:sz="4" w:space="0" w:color="auto"/>
              <w:right w:val="single" w:sz="4" w:space="0" w:color="auto"/>
            </w:tcBorders>
            <w:shd w:val="clear" w:color="000000" w:fill="C5D9F1"/>
            <w:vAlign w:val="center"/>
            <w:hideMark/>
          </w:tcPr>
          <w:p w14:paraId="2F4270D9" w14:textId="77777777" w:rsidR="00553AEA" w:rsidRPr="00553AEA" w:rsidRDefault="00553AEA" w:rsidP="00553AEA">
            <w:pPr>
              <w:jc w:val="left"/>
              <w:rPr>
                <w:rFonts w:ascii="Calibri" w:hAnsi="Calibri"/>
                <w:b/>
                <w:bCs/>
                <w:sz w:val="20"/>
                <w:szCs w:val="20"/>
              </w:rPr>
            </w:pPr>
            <w:r w:rsidRPr="00553AEA">
              <w:rPr>
                <w:rFonts w:ascii="Calibri" w:hAnsi="Calibri"/>
                <w:b/>
                <w:bCs/>
                <w:sz w:val="20"/>
                <w:szCs w:val="20"/>
                <w:lang w:val="sr-Latn-RS"/>
              </w:rPr>
              <w:t xml:space="preserve">Трошкови зарада </w:t>
            </w:r>
          </w:p>
        </w:tc>
        <w:tc>
          <w:tcPr>
            <w:tcW w:w="1340" w:type="dxa"/>
            <w:tcBorders>
              <w:top w:val="nil"/>
              <w:left w:val="nil"/>
              <w:bottom w:val="single" w:sz="4" w:space="0" w:color="auto"/>
              <w:right w:val="single" w:sz="4" w:space="0" w:color="auto"/>
            </w:tcBorders>
            <w:shd w:val="clear" w:color="000000" w:fill="C5D9F1"/>
            <w:noWrap/>
            <w:vAlign w:val="center"/>
            <w:hideMark/>
          </w:tcPr>
          <w:p w14:paraId="22F0120C"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lang w:val="sr-Cyrl-BA"/>
              </w:rPr>
              <w:t>837.744,00</w:t>
            </w:r>
          </w:p>
        </w:tc>
        <w:tc>
          <w:tcPr>
            <w:tcW w:w="1320" w:type="dxa"/>
            <w:tcBorders>
              <w:top w:val="nil"/>
              <w:left w:val="nil"/>
              <w:bottom w:val="single" w:sz="4" w:space="0" w:color="auto"/>
              <w:right w:val="single" w:sz="4" w:space="0" w:color="auto"/>
            </w:tcBorders>
            <w:shd w:val="clear" w:color="000000" w:fill="C5D9F1"/>
            <w:noWrap/>
            <w:vAlign w:val="center"/>
            <w:hideMark/>
          </w:tcPr>
          <w:p w14:paraId="6EF10856"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791.950,01</w:t>
            </w:r>
          </w:p>
        </w:tc>
        <w:tc>
          <w:tcPr>
            <w:tcW w:w="1080" w:type="dxa"/>
            <w:tcBorders>
              <w:top w:val="nil"/>
              <w:left w:val="nil"/>
              <w:bottom w:val="single" w:sz="4" w:space="0" w:color="auto"/>
              <w:right w:val="single" w:sz="4" w:space="0" w:color="auto"/>
            </w:tcBorders>
            <w:shd w:val="clear" w:color="000000" w:fill="C5D9F1"/>
            <w:noWrap/>
            <w:vAlign w:val="center"/>
            <w:hideMark/>
          </w:tcPr>
          <w:p w14:paraId="2FD9AB00"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94,53</w:t>
            </w:r>
          </w:p>
        </w:tc>
      </w:tr>
      <w:tr w:rsidR="00553AEA" w:rsidRPr="00553AEA" w14:paraId="783EF04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2031878"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6500</w:t>
            </w:r>
          </w:p>
        </w:tc>
        <w:tc>
          <w:tcPr>
            <w:tcW w:w="4320" w:type="dxa"/>
            <w:tcBorders>
              <w:top w:val="nil"/>
              <w:left w:val="nil"/>
              <w:bottom w:val="single" w:sz="4" w:space="0" w:color="auto"/>
              <w:right w:val="single" w:sz="4" w:space="0" w:color="auto"/>
            </w:tcBorders>
            <w:shd w:val="clear" w:color="auto" w:fill="auto"/>
            <w:vAlign w:val="center"/>
            <w:hideMark/>
          </w:tcPr>
          <w:p w14:paraId="3BCE70D0"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зарада запослених</w:t>
            </w:r>
          </w:p>
        </w:tc>
        <w:tc>
          <w:tcPr>
            <w:tcW w:w="1340" w:type="dxa"/>
            <w:tcBorders>
              <w:top w:val="nil"/>
              <w:left w:val="nil"/>
              <w:bottom w:val="single" w:sz="4" w:space="0" w:color="auto"/>
              <w:right w:val="single" w:sz="4" w:space="0" w:color="auto"/>
            </w:tcBorders>
            <w:shd w:val="clear" w:color="auto" w:fill="auto"/>
            <w:noWrap/>
            <w:vAlign w:val="center"/>
            <w:hideMark/>
          </w:tcPr>
          <w:p w14:paraId="79CA9E65"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768.540,00</w:t>
            </w:r>
          </w:p>
        </w:tc>
        <w:tc>
          <w:tcPr>
            <w:tcW w:w="1320" w:type="dxa"/>
            <w:tcBorders>
              <w:top w:val="nil"/>
              <w:left w:val="nil"/>
              <w:bottom w:val="single" w:sz="4" w:space="0" w:color="auto"/>
              <w:right w:val="single" w:sz="4" w:space="0" w:color="auto"/>
            </w:tcBorders>
            <w:shd w:val="clear" w:color="auto" w:fill="auto"/>
            <w:noWrap/>
            <w:vAlign w:val="center"/>
            <w:hideMark/>
          </w:tcPr>
          <w:p w14:paraId="6D2B89CA"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692.293,51</w:t>
            </w:r>
          </w:p>
        </w:tc>
        <w:tc>
          <w:tcPr>
            <w:tcW w:w="1080" w:type="dxa"/>
            <w:tcBorders>
              <w:top w:val="nil"/>
              <w:left w:val="nil"/>
              <w:bottom w:val="single" w:sz="4" w:space="0" w:color="auto"/>
              <w:right w:val="single" w:sz="4" w:space="0" w:color="auto"/>
            </w:tcBorders>
            <w:shd w:val="clear" w:color="auto" w:fill="auto"/>
            <w:noWrap/>
            <w:vAlign w:val="center"/>
            <w:hideMark/>
          </w:tcPr>
          <w:p w14:paraId="3A520963"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90,08</w:t>
            </w:r>
          </w:p>
        </w:tc>
      </w:tr>
      <w:tr w:rsidR="00553AEA" w:rsidRPr="00553AEA" w14:paraId="1C4AF5D6"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195DC45"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6501</w:t>
            </w:r>
          </w:p>
        </w:tc>
        <w:tc>
          <w:tcPr>
            <w:tcW w:w="4320" w:type="dxa"/>
            <w:tcBorders>
              <w:top w:val="nil"/>
              <w:left w:val="nil"/>
              <w:bottom w:val="single" w:sz="4" w:space="0" w:color="auto"/>
              <w:right w:val="single" w:sz="4" w:space="0" w:color="auto"/>
            </w:tcBorders>
            <w:shd w:val="clear" w:color="auto" w:fill="auto"/>
            <w:vAlign w:val="center"/>
            <w:hideMark/>
          </w:tcPr>
          <w:p w14:paraId="0D300754"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накнаде – Надзорни одбор</w:t>
            </w:r>
          </w:p>
        </w:tc>
        <w:tc>
          <w:tcPr>
            <w:tcW w:w="1340" w:type="dxa"/>
            <w:tcBorders>
              <w:top w:val="nil"/>
              <w:left w:val="nil"/>
              <w:bottom w:val="single" w:sz="4" w:space="0" w:color="auto"/>
              <w:right w:val="single" w:sz="4" w:space="0" w:color="auto"/>
            </w:tcBorders>
            <w:shd w:val="clear" w:color="auto" w:fill="auto"/>
            <w:noWrap/>
            <w:vAlign w:val="center"/>
            <w:hideMark/>
          </w:tcPr>
          <w:p w14:paraId="0695E734"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36.000,00</w:t>
            </w:r>
          </w:p>
        </w:tc>
        <w:tc>
          <w:tcPr>
            <w:tcW w:w="1320" w:type="dxa"/>
            <w:tcBorders>
              <w:top w:val="nil"/>
              <w:left w:val="nil"/>
              <w:bottom w:val="single" w:sz="4" w:space="0" w:color="auto"/>
              <w:right w:val="single" w:sz="4" w:space="0" w:color="auto"/>
            </w:tcBorders>
            <w:shd w:val="clear" w:color="auto" w:fill="auto"/>
            <w:noWrap/>
            <w:vAlign w:val="center"/>
            <w:hideMark/>
          </w:tcPr>
          <w:p w14:paraId="3FD36685"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34.500,00</w:t>
            </w:r>
          </w:p>
        </w:tc>
        <w:tc>
          <w:tcPr>
            <w:tcW w:w="1080" w:type="dxa"/>
            <w:tcBorders>
              <w:top w:val="nil"/>
              <w:left w:val="nil"/>
              <w:bottom w:val="single" w:sz="4" w:space="0" w:color="auto"/>
              <w:right w:val="single" w:sz="4" w:space="0" w:color="auto"/>
            </w:tcBorders>
            <w:shd w:val="clear" w:color="auto" w:fill="auto"/>
            <w:noWrap/>
            <w:vAlign w:val="center"/>
            <w:hideMark/>
          </w:tcPr>
          <w:p w14:paraId="2C10D1BC"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95,83</w:t>
            </w:r>
          </w:p>
        </w:tc>
      </w:tr>
      <w:tr w:rsidR="00553AEA" w:rsidRPr="00553AEA" w14:paraId="0585826C"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2C5D2BC"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6503</w:t>
            </w:r>
          </w:p>
        </w:tc>
        <w:tc>
          <w:tcPr>
            <w:tcW w:w="4320" w:type="dxa"/>
            <w:tcBorders>
              <w:top w:val="nil"/>
              <w:left w:val="nil"/>
              <w:bottom w:val="single" w:sz="4" w:space="0" w:color="auto"/>
              <w:right w:val="single" w:sz="4" w:space="0" w:color="auto"/>
            </w:tcBorders>
            <w:shd w:val="clear" w:color="auto" w:fill="auto"/>
            <w:vAlign w:val="center"/>
            <w:hideMark/>
          </w:tcPr>
          <w:p w14:paraId="7A322E6A"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зарада – Одбор за ревизију</w:t>
            </w:r>
          </w:p>
        </w:tc>
        <w:tc>
          <w:tcPr>
            <w:tcW w:w="1340" w:type="dxa"/>
            <w:tcBorders>
              <w:top w:val="nil"/>
              <w:left w:val="nil"/>
              <w:bottom w:val="single" w:sz="4" w:space="0" w:color="auto"/>
              <w:right w:val="single" w:sz="4" w:space="0" w:color="auto"/>
            </w:tcBorders>
            <w:shd w:val="clear" w:color="auto" w:fill="auto"/>
            <w:noWrap/>
            <w:vAlign w:val="center"/>
            <w:hideMark/>
          </w:tcPr>
          <w:p w14:paraId="722B9A95"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14.400,00</w:t>
            </w:r>
          </w:p>
        </w:tc>
        <w:tc>
          <w:tcPr>
            <w:tcW w:w="1320" w:type="dxa"/>
            <w:tcBorders>
              <w:top w:val="nil"/>
              <w:left w:val="nil"/>
              <w:bottom w:val="single" w:sz="4" w:space="0" w:color="auto"/>
              <w:right w:val="single" w:sz="4" w:space="0" w:color="auto"/>
            </w:tcBorders>
            <w:shd w:val="clear" w:color="auto" w:fill="auto"/>
            <w:noWrap/>
            <w:vAlign w:val="center"/>
            <w:hideMark/>
          </w:tcPr>
          <w:p w14:paraId="0DD643A3"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12.420,00</w:t>
            </w:r>
          </w:p>
        </w:tc>
        <w:tc>
          <w:tcPr>
            <w:tcW w:w="1080" w:type="dxa"/>
            <w:tcBorders>
              <w:top w:val="nil"/>
              <w:left w:val="nil"/>
              <w:bottom w:val="single" w:sz="4" w:space="0" w:color="auto"/>
              <w:right w:val="single" w:sz="4" w:space="0" w:color="auto"/>
            </w:tcBorders>
            <w:shd w:val="clear" w:color="auto" w:fill="auto"/>
            <w:noWrap/>
            <w:vAlign w:val="center"/>
            <w:hideMark/>
          </w:tcPr>
          <w:p w14:paraId="6FED8147"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86,25</w:t>
            </w:r>
          </w:p>
        </w:tc>
      </w:tr>
      <w:tr w:rsidR="00553AEA" w:rsidRPr="00553AEA" w14:paraId="21163A4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DE92600"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6504</w:t>
            </w:r>
          </w:p>
        </w:tc>
        <w:tc>
          <w:tcPr>
            <w:tcW w:w="4320" w:type="dxa"/>
            <w:tcBorders>
              <w:top w:val="nil"/>
              <w:left w:val="nil"/>
              <w:bottom w:val="single" w:sz="4" w:space="0" w:color="auto"/>
              <w:right w:val="single" w:sz="4" w:space="0" w:color="auto"/>
            </w:tcBorders>
            <w:shd w:val="clear" w:color="auto" w:fill="auto"/>
            <w:vAlign w:val="center"/>
            <w:hideMark/>
          </w:tcPr>
          <w:p w14:paraId="2463B3C1"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зарада – директор интерне ревизије</w:t>
            </w:r>
          </w:p>
        </w:tc>
        <w:tc>
          <w:tcPr>
            <w:tcW w:w="1340" w:type="dxa"/>
            <w:tcBorders>
              <w:top w:val="nil"/>
              <w:left w:val="nil"/>
              <w:bottom w:val="single" w:sz="4" w:space="0" w:color="auto"/>
              <w:right w:val="single" w:sz="4" w:space="0" w:color="auto"/>
            </w:tcBorders>
            <w:shd w:val="clear" w:color="auto" w:fill="auto"/>
            <w:noWrap/>
            <w:vAlign w:val="center"/>
            <w:hideMark/>
          </w:tcPr>
          <w:p w14:paraId="1FF3C05E"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6.000,00</w:t>
            </w:r>
          </w:p>
        </w:tc>
        <w:tc>
          <w:tcPr>
            <w:tcW w:w="1320" w:type="dxa"/>
            <w:tcBorders>
              <w:top w:val="nil"/>
              <w:left w:val="nil"/>
              <w:bottom w:val="single" w:sz="4" w:space="0" w:color="auto"/>
              <w:right w:val="single" w:sz="4" w:space="0" w:color="auto"/>
            </w:tcBorders>
            <w:shd w:val="clear" w:color="auto" w:fill="auto"/>
            <w:noWrap/>
            <w:vAlign w:val="center"/>
            <w:hideMark/>
          </w:tcPr>
          <w:p w14:paraId="6527940A"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5.520,00</w:t>
            </w:r>
          </w:p>
        </w:tc>
        <w:tc>
          <w:tcPr>
            <w:tcW w:w="1080" w:type="dxa"/>
            <w:tcBorders>
              <w:top w:val="nil"/>
              <w:left w:val="nil"/>
              <w:bottom w:val="single" w:sz="4" w:space="0" w:color="auto"/>
              <w:right w:val="single" w:sz="4" w:space="0" w:color="auto"/>
            </w:tcBorders>
            <w:shd w:val="clear" w:color="auto" w:fill="auto"/>
            <w:noWrap/>
            <w:vAlign w:val="center"/>
            <w:hideMark/>
          </w:tcPr>
          <w:p w14:paraId="3A671ED2"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92,00</w:t>
            </w:r>
          </w:p>
        </w:tc>
      </w:tr>
      <w:tr w:rsidR="00553AEA" w:rsidRPr="00553AEA" w14:paraId="61B0B85A"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CC777E8"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6505</w:t>
            </w:r>
          </w:p>
        </w:tc>
        <w:tc>
          <w:tcPr>
            <w:tcW w:w="4320" w:type="dxa"/>
            <w:tcBorders>
              <w:top w:val="nil"/>
              <w:left w:val="nil"/>
              <w:bottom w:val="single" w:sz="4" w:space="0" w:color="auto"/>
              <w:right w:val="single" w:sz="4" w:space="0" w:color="auto"/>
            </w:tcBorders>
            <w:shd w:val="clear" w:color="auto" w:fill="auto"/>
            <w:vAlign w:val="center"/>
            <w:hideMark/>
          </w:tcPr>
          <w:p w14:paraId="3B4FFA9D"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Европског добровољног пензијског фонда</w:t>
            </w:r>
          </w:p>
        </w:tc>
        <w:tc>
          <w:tcPr>
            <w:tcW w:w="1340" w:type="dxa"/>
            <w:tcBorders>
              <w:top w:val="nil"/>
              <w:left w:val="nil"/>
              <w:bottom w:val="single" w:sz="4" w:space="0" w:color="auto"/>
              <w:right w:val="single" w:sz="4" w:space="0" w:color="auto"/>
            </w:tcBorders>
            <w:shd w:val="clear" w:color="auto" w:fill="auto"/>
            <w:noWrap/>
            <w:vAlign w:val="center"/>
            <w:hideMark/>
          </w:tcPr>
          <w:p w14:paraId="064E3247"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12.804,00</w:t>
            </w:r>
          </w:p>
        </w:tc>
        <w:tc>
          <w:tcPr>
            <w:tcW w:w="1320" w:type="dxa"/>
            <w:tcBorders>
              <w:top w:val="nil"/>
              <w:left w:val="nil"/>
              <w:bottom w:val="single" w:sz="4" w:space="0" w:color="auto"/>
              <w:right w:val="single" w:sz="4" w:space="0" w:color="auto"/>
            </w:tcBorders>
            <w:shd w:val="clear" w:color="auto" w:fill="auto"/>
            <w:noWrap/>
            <w:vAlign w:val="center"/>
            <w:hideMark/>
          </w:tcPr>
          <w:p w14:paraId="00EB8E16"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10.700,00</w:t>
            </w:r>
          </w:p>
        </w:tc>
        <w:tc>
          <w:tcPr>
            <w:tcW w:w="1080" w:type="dxa"/>
            <w:tcBorders>
              <w:top w:val="nil"/>
              <w:left w:val="nil"/>
              <w:bottom w:val="single" w:sz="4" w:space="0" w:color="auto"/>
              <w:right w:val="single" w:sz="4" w:space="0" w:color="auto"/>
            </w:tcBorders>
            <w:shd w:val="clear" w:color="auto" w:fill="auto"/>
            <w:noWrap/>
            <w:vAlign w:val="center"/>
            <w:hideMark/>
          </w:tcPr>
          <w:p w14:paraId="67B68F9F"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83,57</w:t>
            </w:r>
          </w:p>
        </w:tc>
      </w:tr>
      <w:tr w:rsidR="00553AEA" w:rsidRPr="00553AEA" w14:paraId="0E61C4F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39D4816"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6507</w:t>
            </w:r>
          </w:p>
        </w:tc>
        <w:tc>
          <w:tcPr>
            <w:tcW w:w="4320" w:type="dxa"/>
            <w:tcBorders>
              <w:top w:val="nil"/>
              <w:left w:val="nil"/>
              <w:bottom w:val="single" w:sz="4" w:space="0" w:color="auto"/>
              <w:right w:val="single" w:sz="4" w:space="0" w:color="auto"/>
            </w:tcBorders>
            <w:shd w:val="clear" w:color="auto" w:fill="auto"/>
            <w:vAlign w:val="center"/>
            <w:hideMark/>
          </w:tcPr>
          <w:p w14:paraId="53E34357" w14:textId="77777777" w:rsidR="00553AEA" w:rsidRPr="00553AEA" w:rsidRDefault="00553AEA" w:rsidP="00553AEA">
            <w:pPr>
              <w:jc w:val="left"/>
              <w:rPr>
                <w:rFonts w:ascii="Calibri" w:hAnsi="Calibri"/>
                <w:sz w:val="20"/>
                <w:szCs w:val="20"/>
              </w:rPr>
            </w:pPr>
            <w:r w:rsidRPr="00553AEA">
              <w:rPr>
                <w:rFonts w:ascii="Calibri" w:hAnsi="Calibri"/>
                <w:sz w:val="20"/>
                <w:szCs w:val="20"/>
                <w:lang w:val="sr-Cyrl-BA"/>
              </w:rPr>
              <w:t>Трошкови накнада – Уговор ван радног односа</w:t>
            </w:r>
          </w:p>
        </w:tc>
        <w:tc>
          <w:tcPr>
            <w:tcW w:w="1340" w:type="dxa"/>
            <w:tcBorders>
              <w:top w:val="nil"/>
              <w:left w:val="nil"/>
              <w:bottom w:val="single" w:sz="4" w:space="0" w:color="auto"/>
              <w:right w:val="single" w:sz="4" w:space="0" w:color="auto"/>
            </w:tcBorders>
            <w:shd w:val="clear" w:color="auto" w:fill="auto"/>
            <w:noWrap/>
            <w:vAlign w:val="center"/>
            <w:hideMark/>
          </w:tcPr>
          <w:p w14:paraId="509B4828" w14:textId="77777777" w:rsidR="00553AEA" w:rsidRPr="00553AEA" w:rsidRDefault="00553AEA"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702C016B"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36.516,50</w:t>
            </w:r>
          </w:p>
        </w:tc>
        <w:tc>
          <w:tcPr>
            <w:tcW w:w="1080" w:type="dxa"/>
            <w:tcBorders>
              <w:top w:val="nil"/>
              <w:left w:val="nil"/>
              <w:bottom w:val="single" w:sz="4" w:space="0" w:color="auto"/>
              <w:right w:val="single" w:sz="4" w:space="0" w:color="auto"/>
            </w:tcBorders>
            <w:shd w:val="clear" w:color="auto" w:fill="auto"/>
            <w:noWrap/>
            <w:vAlign w:val="center"/>
            <w:hideMark/>
          </w:tcPr>
          <w:p w14:paraId="633F4C5F" w14:textId="77777777" w:rsidR="00553AEA" w:rsidRPr="00553AEA" w:rsidRDefault="00553AEA" w:rsidP="00553AEA">
            <w:pPr>
              <w:jc w:val="center"/>
              <w:rPr>
                <w:rFonts w:ascii="Calibri" w:hAnsi="Calibri"/>
                <w:sz w:val="20"/>
                <w:szCs w:val="20"/>
              </w:rPr>
            </w:pPr>
            <w:r w:rsidRPr="00553AEA">
              <w:rPr>
                <w:rFonts w:ascii="Calibri" w:hAnsi="Calibri"/>
                <w:sz w:val="20"/>
                <w:szCs w:val="20"/>
              </w:rPr>
              <w:t> </w:t>
            </w:r>
          </w:p>
        </w:tc>
      </w:tr>
      <w:tr w:rsidR="00553AEA" w:rsidRPr="00553AEA" w14:paraId="1122B958"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57CCD84B"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651</w:t>
            </w:r>
          </w:p>
        </w:tc>
        <w:tc>
          <w:tcPr>
            <w:tcW w:w="4320" w:type="dxa"/>
            <w:tcBorders>
              <w:top w:val="nil"/>
              <w:left w:val="nil"/>
              <w:bottom w:val="single" w:sz="4" w:space="0" w:color="auto"/>
              <w:right w:val="single" w:sz="4" w:space="0" w:color="auto"/>
            </w:tcBorders>
            <w:shd w:val="clear" w:color="000000" w:fill="C5D9F1"/>
            <w:vAlign w:val="center"/>
            <w:hideMark/>
          </w:tcPr>
          <w:p w14:paraId="68929C6C" w14:textId="77777777" w:rsidR="00553AEA" w:rsidRPr="00553AEA" w:rsidRDefault="00553AEA" w:rsidP="00553AEA">
            <w:pPr>
              <w:jc w:val="left"/>
              <w:rPr>
                <w:rFonts w:ascii="Calibri" w:hAnsi="Calibri"/>
                <w:b/>
                <w:bCs/>
                <w:sz w:val="20"/>
                <w:szCs w:val="20"/>
              </w:rPr>
            </w:pPr>
            <w:r w:rsidRPr="00553AEA">
              <w:rPr>
                <w:rFonts w:ascii="Calibri" w:hAnsi="Calibri"/>
                <w:b/>
                <w:bCs/>
                <w:sz w:val="20"/>
                <w:szCs w:val="20"/>
                <w:lang w:val="sr-Latn-RS"/>
              </w:rPr>
              <w:t>Трошкови накнада зарада</w:t>
            </w:r>
          </w:p>
        </w:tc>
        <w:tc>
          <w:tcPr>
            <w:tcW w:w="1340" w:type="dxa"/>
            <w:tcBorders>
              <w:top w:val="nil"/>
              <w:left w:val="nil"/>
              <w:bottom w:val="single" w:sz="4" w:space="0" w:color="auto"/>
              <w:right w:val="single" w:sz="4" w:space="0" w:color="auto"/>
            </w:tcBorders>
            <w:shd w:val="clear" w:color="000000" w:fill="C5D9F1"/>
            <w:noWrap/>
            <w:vAlign w:val="center"/>
            <w:hideMark/>
          </w:tcPr>
          <w:p w14:paraId="5B87B9A5"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lang w:val="sr-Cyrl-BA"/>
              </w:rPr>
              <w:t>69.634,25</w:t>
            </w:r>
          </w:p>
        </w:tc>
        <w:tc>
          <w:tcPr>
            <w:tcW w:w="1320" w:type="dxa"/>
            <w:tcBorders>
              <w:top w:val="nil"/>
              <w:left w:val="nil"/>
              <w:bottom w:val="single" w:sz="4" w:space="0" w:color="auto"/>
              <w:right w:val="single" w:sz="4" w:space="0" w:color="auto"/>
            </w:tcBorders>
            <w:shd w:val="clear" w:color="000000" w:fill="C5D9F1"/>
            <w:noWrap/>
            <w:vAlign w:val="center"/>
            <w:hideMark/>
          </w:tcPr>
          <w:p w14:paraId="00E9C3B1"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61.908,87</w:t>
            </w:r>
          </w:p>
        </w:tc>
        <w:tc>
          <w:tcPr>
            <w:tcW w:w="1080" w:type="dxa"/>
            <w:tcBorders>
              <w:top w:val="nil"/>
              <w:left w:val="nil"/>
              <w:bottom w:val="single" w:sz="4" w:space="0" w:color="auto"/>
              <w:right w:val="single" w:sz="4" w:space="0" w:color="auto"/>
            </w:tcBorders>
            <w:shd w:val="clear" w:color="000000" w:fill="C5D9F1"/>
            <w:noWrap/>
            <w:vAlign w:val="center"/>
            <w:hideMark/>
          </w:tcPr>
          <w:p w14:paraId="2304FB20"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88,91</w:t>
            </w:r>
          </w:p>
        </w:tc>
      </w:tr>
      <w:tr w:rsidR="00553AEA" w:rsidRPr="00553AEA" w14:paraId="6BDFC049"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C2D2537"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6510</w:t>
            </w:r>
          </w:p>
        </w:tc>
        <w:tc>
          <w:tcPr>
            <w:tcW w:w="4320" w:type="dxa"/>
            <w:tcBorders>
              <w:top w:val="nil"/>
              <w:left w:val="nil"/>
              <w:bottom w:val="single" w:sz="4" w:space="0" w:color="auto"/>
              <w:right w:val="single" w:sz="4" w:space="0" w:color="auto"/>
            </w:tcBorders>
            <w:shd w:val="clear" w:color="auto" w:fill="auto"/>
            <w:vAlign w:val="center"/>
            <w:hideMark/>
          </w:tcPr>
          <w:p w14:paraId="6AF9B909"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Накнада топли оброк</w:t>
            </w:r>
          </w:p>
        </w:tc>
        <w:tc>
          <w:tcPr>
            <w:tcW w:w="1340" w:type="dxa"/>
            <w:tcBorders>
              <w:top w:val="nil"/>
              <w:left w:val="nil"/>
              <w:bottom w:val="single" w:sz="4" w:space="0" w:color="auto"/>
              <w:right w:val="single" w:sz="4" w:space="0" w:color="auto"/>
            </w:tcBorders>
            <w:shd w:val="clear" w:color="auto" w:fill="auto"/>
            <w:noWrap/>
            <w:vAlign w:val="center"/>
            <w:hideMark/>
          </w:tcPr>
          <w:p w14:paraId="093C6EDB"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51.443,00</w:t>
            </w:r>
          </w:p>
        </w:tc>
        <w:tc>
          <w:tcPr>
            <w:tcW w:w="1320" w:type="dxa"/>
            <w:tcBorders>
              <w:top w:val="nil"/>
              <w:left w:val="nil"/>
              <w:bottom w:val="single" w:sz="4" w:space="0" w:color="auto"/>
              <w:right w:val="single" w:sz="4" w:space="0" w:color="auto"/>
            </w:tcBorders>
            <w:shd w:val="clear" w:color="auto" w:fill="auto"/>
            <w:noWrap/>
            <w:vAlign w:val="center"/>
            <w:hideMark/>
          </w:tcPr>
          <w:p w14:paraId="6E758047"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40.325,37</w:t>
            </w:r>
          </w:p>
        </w:tc>
        <w:tc>
          <w:tcPr>
            <w:tcW w:w="1080" w:type="dxa"/>
            <w:tcBorders>
              <w:top w:val="nil"/>
              <w:left w:val="nil"/>
              <w:bottom w:val="single" w:sz="4" w:space="0" w:color="auto"/>
              <w:right w:val="single" w:sz="4" w:space="0" w:color="auto"/>
            </w:tcBorders>
            <w:shd w:val="clear" w:color="auto" w:fill="auto"/>
            <w:noWrap/>
            <w:vAlign w:val="center"/>
            <w:hideMark/>
          </w:tcPr>
          <w:p w14:paraId="2CC710E4"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78,39</w:t>
            </w:r>
          </w:p>
        </w:tc>
      </w:tr>
      <w:tr w:rsidR="00553AEA" w:rsidRPr="00553AEA" w14:paraId="57F73E1A"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1E098F9"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6511</w:t>
            </w:r>
          </w:p>
        </w:tc>
        <w:tc>
          <w:tcPr>
            <w:tcW w:w="4320" w:type="dxa"/>
            <w:tcBorders>
              <w:top w:val="nil"/>
              <w:left w:val="nil"/>
              <w:bottom w:val="single" w:sz="4" w:space="0" w:color="auto"/>
              <w:right w:val="single" w:sz="4" w:space="0" w:color="auto"/>
            </w:tcBorders>
            <w:shd w:val="clear" w:color="auto" w:fill="auto"/>
            <w:vAlign w:val="center"/>
            <w:hideMark/>
          </w:tcPr>
          <w:p w14:paraId="20594407"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накнада – регрес за годишњи одмор</w:t>
            </w:r>
          </w:p>
        </w:tc>
        <w:tc>
          <w:tcPr>
            <w:tcW w:w="1340" w:type="dxa"/>
            <w:tcBorders>
              <w:top w:val="nil"/>
              <w:left w:val="nil"/>
              <w:bottom w:val="single" w:sz="4" w:space="0" w:color="auto"/>
              <w:right w:val="single" w:sz="4" w:space="0" w:color="auto"/>
            </w:tcBorders>
            <w:shd w:val="clear" w:color="auto" w:fill="auto"/>
            <w:noWrap/>
            <w:vAlign w:val="center"/>
            <w:hideMark/>
          </w:tcPr>
          <w:p w14:paraId="1B938389"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18.191,25</w:t>
            </w:r>
          </w:p>
        </w:tc>
        <w:tc>
          <w:tcPr>
            <w:tcW w:w="1320" w:type="dxa"/>
            <w:tcBorders>
              <w:top w:val="nil"/>
              <w:left w:val="nil"/>
              <w:bottom w:val="single" w:sz="4" w:space="0" w:color="auto"/>
              <w:right w:val="single" w:sz="4" w:space="0" w:color="auto"/>
            </w:tcBorders>
            <w:shd w:val="clear" w:color="auto" w:fill="auto"/>
            <w:noWrap/>
            <w:vAlign w:val="center"/>
            <w:hideMark/>
          </w:tcPr>
          <w:p w14:paraId="0529D1BA"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21.583,50</w:t>
            </w:r>
          </w:p>
        </w:tc>
        <w:tc>
          <w:tcPr>
            <w:tcW w:w="1080" w:type="dxa"/>
            <w:tcBorders>
              <w:top w:val="nil"/>
              <w:left w:val="nil"/>
              <w:bottom w:val="single" w:sz="4" w:space="0" w:color="auto"/>
              <w:right w:val="single" w:sz="4" w:space="0" w:color="auto"/>
            </w:tcBorders>
            <w:shd w:val="clear" w:color="auto" w:fill="auto"/>
            <w:noWrap/>
            <w:vAlign w:val="center"/>
            <w:hideMark/>
          </w:tcPr>
          <w:p w14:paraId="305F6D77"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118,65</w:t>
            </w:r>
          </w:p>
        </w:tc>
      </w:tr>
      <w:tr w:rsidR="00553AEA" w:rsidRPr="00553AEA" w14:paraId="0519DD77"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43165D69"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Latn-RS"/>
              </w:rPr>
              <w:t>652</w:t>
            </w:r>
          </w:p>
        </w:tc>
        <w:tc>
          <w:tcPr>
            <w:tcW w:w="4320" w:type="dxa"/>
            <w:tcBorders>
              <w:top w:val="nil"/>
              <w:left w:val="nil"/>
              <w:bottom w:val="single" w:sz="4" w:space="0" w:color="auto"/>
              <w:right w:val="single" w:sz="4" w:space="0" w:color="auto"/>
            </w:tcBorders>
            <w:shd w:val="clear" w:color="000000" w:fill="C5D9F1"/>
            <w:vAlign w:val="center"/>
            <w:hideMark/>
          </w:tcPr>
          <w:p w14:paraId="4C0A698C" w14:textId="77777777" w:rsidR="00553AEA" w:rsidRPr="00553AEA" w:rsidRDefault="00553AEA" w:rsidP="00553AEA">
            <w:pPr>
              <w:jc w:val="left"/>
              <w:rPr>
                <w:rFonts w:ascii="Calibri" w:hAnsi="Calibri"/>
                <w:b/>
                <w:bCs/>
                <w:sz w:val="20"/>
                <w:szCs w:val="20"/>
              </w:rPr>
            </w:pPr>
            <w:r w:rsidRPr="00553AEA">
              <w:rPr>
                <w:rFonts w:ascii="Calibri" w:hAnsi="Calibri"/>
                <w:b/>
                <w:bCs/>
                <w:sz w:val="20"/>
                <w:szCs w:val="20"/>
                <w:lang w:val="sr-Latn-RS"/>
              </w:rPr>
              <w:t>Трошкови пореза на зараде и накнада зарада</w:t>
            </w:r>
          </w:p>
        </w:tc>
        <w:tc>
          <w:tcPr>
            <w:tcW w:w="1340" w:type="dxa"/>
            <w:tcBorders>
              <w:top w:val="nil"/>
              <w:left w:val="nil"/>
              <w:bottom w:val="single" w:sz="4" w:space="0" w:color="auto"/>
              <w:right w:val="single" w:sz="4" w:space="0" w:color="auto"/>
            </w:tcBorders>
            <w:shd w:val="clear" w:color="000000" w:fill="C5D9F1"/>
            <w:noWrap/>
            <w:vAlign w:val="center"/>
            <w:hideMark/>
          </w:tcPr>
          <w:p w14:paraId="468008FC"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lang w:val="sr-Cyrl-BA"/>
              </w:rPr>
              <w:t>95.141,00</w:t>
            </w:r>
          </w:p>
        </w:tc>
        <w:tc>
          <w:tcPr>
            <w:tcW w:w="1320" w:type="dxa"/>
            <w:tcBorders>
              <w:top w:val="nil"/>
              <w:left w:val="nil"/>
              <w:bottom w:val="single" w:sz="4" w:space="0" w:color="auto"/>
              <w:right w:val="single" w:sz="4" w:space="0" w:color="auto"/>
            </w:tcBorders>
            <w:shd w:val="clear" w:color="000000" w:fill="C5D9F1"/>
            <w:noWrap/>
            <w:vAlign w:val="center"/>
            <w:hideMark/>
          </w:tcPr>
          <w:p w14:paraId="38E57F51"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lang w:val="sr-Cyrl-BA"/>
              </w:rPr>
              <w:t>92.702,43</w:t>
            </w:r>
          </w:p>
        </w:tc>
        <w:tc>
          <w:tcPr>
            <w:tcW w:w="1080" w:type="dxa"/>
            <w:tcBorders>
              <w:top w:val="nil"/>
              <w:left w:val="nil"/>
              <w:bottom w:val="single" w:sz="4" w:space="0" w:color="auto"/>
              <w:right w:val="single" w:sz="4" w:space="0" w:color="auto"/>
            </w:tcBorders>
            <w:shd w:val="clear" w:color="000000" w:fill="C5D9F1"/>
            <w:noWrap/>
            <w:vAlign w:val="center"/>
            <w:hideMark/>
          </w:tcPr>
          <w:p w14:paraId="5752231C"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lang w:val="sr-Cyrl-BA"/>
              </w:rPr>
              <w:t>97,44</w:t>
            </w:r>
          </w:p>
        </w:tc>
      </w:tr>
      <w:tr w:rsidR="00553AEA" w:rsidRPr="00553AEA" w14:paraId="743EC3E5" w14:textId="77777777" w:rsidTr="009634B9">
        <w:trPr>
          <w:trHeight w:val="315"/>
        </w:trPr>
        <w:tc>
          <w:tcPr>
            <w:tcW w:w="880" w:type="dxa"/>
            <w:tcBorders>
              <w:top w:val="nil"/>
              <w:left w:val="single" w:sz="4" w:space="0" w:color="auto"/>
              <w:right w:val="single" w:sz="4" w:space="0" w:color="auto"/>
            </w:tcBorders>
            <w:shd w:val="clear" w:color="auto" w:fill="auto"/>
            <w:noWrap/>
            <w:vAlign w:val="center"/>
            <w:hideMark/>
          </w:tcPr>
          <w:p w14:paraId="4C51CE1C"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Latn-RS"/>
              </w:rPr>
              <w:t>6520</w:t>
            </w:r>
          </w:p>
        </w:tc>
        <w:tc>
          <w:tcPr>
            <w:tcW w:w="4320" w:type="dxa"/>
            <w:tcBorders>
              <w:top w:val="nil"/>
              <w:left w:val="nil"/>
              <w:right w:val="single" w:sz="4" w:space="0" w:color="auto"/>
            </w:tcBorders>
            <w:shd w:val="clear" w:color="auto" w:fill="auto"/>
            <w:vAlign w:val="center"/>
            <w:hideMark/>
          </w:tcPr>
          <w:p w14:paraId="795CE4A1" w14:textId="77777777" w:rsidR="00553AEA" w:rsidRPr="00553AEA" w:rsidRDefault="00553AEA" w:rsidP="00553AEA">
            <w:pPr>
              <w:jc w:val="left"/>
              <w:rPr>
                <w:rFonts w:ascii="Calibri" w:hAnsi="Calibri"/>
                <w:sz w:val="20"/>
                <w:szCs w:val="20"/>
              </w:rPr>
            </w:pPr>
            <w:r w:rsidRPr="00553AEA">
              <w:rPr>
                <w:rFonts w:ascii="Calibri" w:hAnsi="Calibri"/>
                <w:sz w:val="20"/>
                <w:szCs w:val="20"/>
                <w:lang w:val="sr-Latn-RS"/>
              </w:rPr>
              <w:t>Трошкови пореза за зараде и накнаде зарада</w:t>
            </w:r>
          </w:p>
        </w:tc>
        <w:tc>
          <w:tcPr>
            <w:tcW w:w="1340" w:type="dxa"/>
            <w:tcBorders>
              <w:top w:val="nil"/>
              <w:left w:val="nil"/>
              <w:right w:val="single" w:sz="4" w:space="0" w:color="auto"/>
            </w:tcBorders>
            <w:shd w:val="clear" w:color="auto" w:fill="auto"/>
            <w:noWrap/>
            <w:vAlign w:val="center"/>
            <w:hideMark/>
          </w:tcPr>
          <w:p w14:paraId="7BBBFA3B" w14:textId="77777777" w:rsidR="00553AEA" w:rsidRPr="00553AEA" w:rsidRDefault="00553AEA" w:rsidP="00553AEA">
            <w:pPr>
              <w:jc w:val="right"/>
              <w:rPr>
                <w:rFonts w:ascii="Calibri" w:hAnsi="Calibri"/>
                <w:sz w:val="20"/>
                <w:szCs w:val="20"/>
              </w:rPr>
            </w:pPr>
            <w:r w:rsidRPr="00553AEA">
              <w:rPr>
                <w:rFonts w:ascii="Calibri" w:hAnsi="Calibri"/>
                <w:sz w:val="20"/>
                <w:szCs w:val="20"/>
                <w:lang w:val="sr-Cyrl-BA"/>
              </w:rPr>
              <w:t>73.646,00</w:t>
            </w:r>
          </w:p>
        </w:tc>
        <w:tc>
          <w:tcPr>
            <w:tcW w:w="1320" w:type="dxa"/>
            <w:tcBorders>
              <w:top w:val="nil"/>
              <w:left w:val="nil"/>
              <w:right w:val="single" w:sz="4" w:space="0" w:color="auto"/>
            </w:tcBorders>
            <w:shd w:val="clear" w:color="auto" w:fill="auto"/>
            <w:noWrap/>
            <w:vAlign w:val="center"/>
            <w:hideMark/>
          </w:tcPr>
          <w:p w14:paraId="757BB279"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lang w:val="sr-Cyrl-BA"/>
              </w:rPr>
              <w:t>66.792,49</w:t>
            </w:r>
          </w:p>
        </w:tc>
        <w:tc>
          <w:tcPr>
            <w:tcW w:w="1080" w:type="dxa"/>
            <w:tcBorders>
              <w:top w:val="nil"/>
              <w:left w:val="nil"/>
              <w:right w:val="single" w:sz="4" w:space="0" w:color="auto"/>
            </w:tcBorders>
            <w:shd w:val="clear" w:color="auto" w:fill="auto"/>
            <w:noWrap/>
            <w:vAlign w:val="center"/>
            <w:hideMark/>
          </w:tcPr>
          <w:p w14:paraId="257AD4B4" w14:textId="77777777" w:rsidR="00553AEA" w:rsidRPr="00553AEA" w:rsidRDefault="00553AEA" w:rsidP="00553AEA">
            <w:pPr>
              <w:jc w:val="center"/>
              <w:rPr>
                <w:rFonts w:ascii="Calibri" w:hAnsi="Calibri"/>
                <w:sz w:val="20"/>
                <w:szCs w:val="20"/>
              </w:rPr>
            </w:pPr>
            <w:r w:rsidRPr="00553AEA">
              <w:rPr>
                <w:rFonts w:ascii="Calibri" w:hAnsi="Calibri"/>
                <w:sz w:val="20"/>
                <w:szCs w:val="20"/>
                <w:lang w:val="sr-Cyrl-BA"/>
              </w:rPr>
              <w:t>90,69</w:t>
            </w:r>
          </w:p>
        </w:tc>
      </w:tr>
      <w:tr w:rsidR="00065F90" w:rsidRPr="00553AEA" w14:paraId="0690DF98"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8DB3E2" w:themeFill="text2" w:themeFillTint="66"/>
            <w:noWrap/>
            <w:vAlign w:val="center"/>
          </w:tcPr>
          <w:p w14:paraId="5D77F3E2" w14:textId="5B25C9E1" w:rsidR="00065F90" w:rsidRPr="00553AEA" w:rsidRDefault="00065F90" w:rsidP="00065F90">
            <w:pPr>
              <w:jc w:val="center"/>
              <w:rPr>
                <w:rFonts w:ascii="Calibri" w:hAnsi="Calibri"/>
                <w:sz w:val="20"/>
                <w:szCs w:val="20"/>
                <w:lang w:val="sr-Latn-RS"/>
              </w:rPr>
            </w:pPr>
            <w:r w:rsidRPr="00553AEA">
              <w:rPr>
                <w:rFonts w:ascii="Calibri" w:hAnsi="Calibri"/>
                <w:b/>
                <w:bCs/>
                <w:sz w:val="20"/>
                <w:szCs w:val="20"/>
                <w:lang w:val="sr-Latn-RS"/>
              </w:rPr>
              <w:t>Конто</w:t>
            </w:r>
          </w:p>
        </w:tc>
        <w:tc>
          <w:tcPr>
            <w:tcW w:w="4320" w:type="dxa"/>
            <w:tcBorders>
              <w:top w:val="nil"/>
              <w:left w:val="nil"/>
              <w:bottom w:val="single" w:sz="4" w:space="0" w:color="auto"/>
              <w:right w:val="single" w:sz="4" w:space="0" w:color="auto"/>
            </w:tcBorders>
            <w:shd w:val="clear" w:color="auto" w:fill="8DB3E2" w:themeFill="text2" w:themeFillTint="66"/>
            <w:vAlign w:val="center"/>
          </w:tcPr>
          <w:p w14:paraId="5DD417BE" w14:textId="53BEA603" w:rsidR="00065F90" w:rsidRPr="00553AEA" w:rsidRDefault="00065F90" w:rsidP="00065F90">
            <w:pPr>
              <w:jc w:val="center"/>
              <w:rPr>
                <w:rFonts w:ascii="Calibri" w:hAnsi="Calibri"/>
                <w:sz w:val="20"/>
                <w:szCs w:val="20"/>
                <w:lang w:val="sr-Latn-RS"/>
              </w:rPr>
            </w:pPr>
            <w:r w:rsidRPr="00553AEA">
              <w:rPr>
                <w:rFonts w:ascii="Calibri" w:hAnsi="Calibri"/>
                <w:b/>
                <w:bCs/>
                <w:sz w:val="20"/>
                <w:szCs w:val="20"/>
                <w:lang w:val="sr-Latn-RS"/>
              </w:rPr>
              <w:t>Назив</w:t>
            </w:r>
          </w:p>
        </w:tc>
        <w:tc>
          <w:tcPr>
            <w:tcW w:w="1340" w:type="dxa"/>
            <w:tcBorders>
              <w:top w:val="nil"/>
              <w:left w:val="nil"/>
              <w:bottom w:val="single" w:sz="4" w:space="0" w:color="auto"/>
              <w:right w:val="single" w:sz="4" w:space="0" w:color="auto"/>
            </w:tcBorders>
            <w:shd w:val="clear" w:color="auto" w:fill="8DB3E2" w:themeFill="text2" w:themeFillTint="66"/>
            <w:noWrap/>
            <w:vAlign w:val="center"/>
          </w:tcPr>
          <w:p w14:paraId="2C9FAA6B" w14:textId="53F3A2CC" w:rsidR="00065F90" w:rsidRPr="00553AEA" w:rsidRDefault="00065F90" w:rsidP="00065F90">
            <w:pPr>
              <w:jc w:val="center"/>
              <w:rPr>
                <w:rFonts w:ascii="Calibri" w:hAnsi="Calibri"/>
                <w:sz w:val="20"/>
                <w:szCs w:val="20"/>
                <w:lang w:val="sr-Cyrl-BA"/>
              </w:rPr>
            </w:pPr>
            <w:r w:rsidRPr="00553AEA">
              <w:rPr>
                <w:rFonts w:ascii="Calibri" w:hAnsi="Calibri"/>
                <w:b/>
                <w:bCs/>
                <w:sz w:val="20"/>
                <w:szCs w:val="20"/>
                <w:lang w:val="sr-Latn-RS"/>
              </w:rPr>
              <w:t>Планирано у 2023. години</w:t>
            </w:r>
          </w:p>
        </w:tc>
        <w:tc>
          <w:tcPr>
            <w:tcW w:w="1320" w:type="dxa"/>
            <w:tcBorders>
              <w:top w:val="nil"/>
              <w:left w:val="nil"/>
              <w:bottom w:val="single" w:sz="4" w:space="0" w:color="auto"/>
              <w:right w:val="single" w:sz="4" w:space="0" w:color="auto"/>
            </w:tcBorders>
            <w:shd w:val="clear" w:color="auto" w:fill="8DB3E2" w:themeFill="text2" w:themeFillTint="66"/>
            <w:noWrap/>
            <w:vAlign w:val="center"/>
          </w:tcPr>
          <w:p w14:paraId="04598EE9" w14:textId="44B9408E" w:rsidR="00065F90" w:rsidRPr="00553AEA" w:rsidRDefault="00065F90" w:rsidP="00065F90">
            <w:pPr>
              <w:jc w:val="center"/>
              <w:rPr>
                <w:rFonts w:ascii="Calibri" w:hAnsi="Calibri"/>
                <w:color w:val="auto"/>
                <w:sz w:val="20"/>
                <w:szCs w:val="20"/>
                <w:lang w:val="sr-Cyrl-BA"/>
              </w:rPr>
            </w:pPr>
            <w:r w:rsidRPr="00553AEA">
              <w:rPr>
                <w:rFonts w:ascii="Calibri" w:hAnsi="Calibri"/>
                <w:b/>
                <w:bCs/>
                <w:sz w:val="20"/>
                <w:szCs w:val="20"/>
                <w:lang w:val="sr-Latn-RS"/>
              </w:rPr>
              <w:t>Остварено у 2023. години</w:t>
            </w:r>
          </w:p>
        </w:tc>
        <w:tc>
          <w:tcPr>
            <w:tcW w:w="1080" w:type="dxa"/>
            <w:tcBorders>
              <w:top w:val="nil"/>
              <w:left w:val="nil"/>
              <w:bottom w:val="single" w:sz="4" w:space="0" w:color="auto"/>
              <w:right w:val="single" w:sz="4" w:space="0" w:color="auto"/>
            </w:tcBorders>
            <w:shd w:val="clear" w:color="auto" w:fill="8DB3E2" w:themeFill="text2" w:themeFillTint="66"/>
            <w:noWrap/>
            <w:vAlign w:val="center"/>
          </w:tcPr>
          <w:p w14:paraId="7ACC316B" w14:textId="11EE5644" w:rsidR="00065F90" w:rsidRPr="00553AEA" w:rsidRDefault="00065F90" w:rsidP="00065F90">
            <w:pPr>
              <w:jc w:val="center"/>
              <w:rPr>
                <w:rFonts w:ascii="Calibri" w:hAnsi="Calibri"/>
                <w:sz w:val="20"/>
                <w:szCs w:val="20"/>
                <w:lang w:val="sr-Cyrl-BA"/>
              </w:rPr>
            </w:pPr>
            <w:r w:rsidRPr="00553AEA">
              <w:rPr>
                <w:rFonts w:ascii="Calibri" w:hAnsi="Calibri"/>
                <w:b/>
                <w:sz w:val="20"/>
                <w:szCs w:val="20"/>
                <w:lang w:val="sr-Latn-RS"/>
              </w:rPr>
              <w:t>Индекс</w:t>
            </w:r>
          </w:p>
        </w:tc>
      </w:tr>
      <w:tr w:rsidR="00065F90" w:rsidRPr="00553AEA" w14:paraId="5F935528"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6EE257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6521</w:t>
            </w:r>
          </w:p>
        </w:tc>
        <w:tc>
          <w:tcPr>
            <w:tcW w:w="4320" w:type="dxa"/>
            <w:tcBorders>
              <w:top w:val="nil"/>
              <w:left w:val="nil"/>
              <w:bottom w:val="single" w:sz="4" w:space="0" w:color="auto"/>
              <w:right w:val="single" w:sz="4" w:space="0" w:color="auto"/>
            </w:tcBorders>
            <w:shd w:val="clear" w:color="auto" w:fill="auto"/>
            <w:vAlign w:val="center"/>
            <w:hideMark/>
          </w:tcPr>
          <w:p w14:paraId="19206169"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за топли оброк</w:t>
            </w:r>
          </w:p>
        </w:tc>
        <w:tc>
          <w:tcPr>
            <w:tcW w:w="1340" w:type="dxa"/>
            <w:tcBorders>
              <w:top w:val="nil"/>
              <w:left w:val="nil"/>
              <w:bottom w:val="single" w:sz="4" w:space="0" w:color="auto"/>
              <w:right w:val="single" w:sz="4" w:space="0" w:color="auto"/>
            </w:tcBorders>
            <w:shd w:val="clear" w:color="auto" w:fill="auto"/>
            <w:noWrap/>
            <w:vAlign w:val="center"/>
            <w:hideMark/>
          </w:tcPr>
          <w:p w14:paraId="0A45B371"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6.700,00</w:t>
            </w:r>
          </w:p>
        </w:tc>
        <w:tc>
          <w:tcPr>
            <w:tcW w:w="1320" w:type="dxa"/>
            <w:tcBorders>
              <w:top w:val="nil"/>
              <w:left w:val="nil"/>
              <w:bottom w:val="single" w:sz="4" w:space="0" w:color="auto"/>
              <w:right w:val="single" w:sz="4" w:space="0" w:color="auto"/>
            </w:tcBorders>
            <w:shd w:val="clear" w:color="auto" w:fill="auto"/>
            <w:noWrap/>
            <w:vAlign w:val="center"/>
            <w:hideMark/>
          </w:tcPr>
          <w:p w14:paraId="2F01B5A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5.288,68</w:t>
            </w:r>
          </w:p>
        </w:tc>
        <w:tc>
          <w:tcPr>
            <w:tcW w:w="1080" w:type="dxa"/>
            <w:tcBorders>
              <w:top w:val="nil"/>
              <w:left w:val="nil"/>
              <w:bottom w:val="single" w:sz="4" w:space="0" w:color="auto"/>
              <w:right w:val="single" w:sz="4" w:space="0" w:color="auto"/>
            </w:tcBorders>
            <w:shd w:val="clear" w:color="auto" w:fill="auto"/>
            <w:noWrap/>
            <w:vAlign w:val="center"/>
            <w:hideMark/>
          </w:tcPr>
          <w:p w14:paraId="6FA31CC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78,94</w:t>
            </w:r>
          </w:p>
        </w:tc>
      </w:tr>
      <w:tr w:rsidR="00065F90" w:rsidRPr="00553AEA" w14:paraId="7A559AC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B1BB8F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65213</w:t>
            </w:r>
          </w:p>
        </w:tc>
        <w:tc>
          <w:tcPr>
            <w:tcW w:w="4320" w:type="dxa"/>
            <w:tcBorders>
              <w:top w:val="nil"/>
              <w:left w:val="nil"/>
              <w:bottom w:val="single" w:sz="4" w:space="0" w:color="auto"/>
              <w:right w:val="single" w:sz="4" w:space="0" w:color="auto"/>
            </w:tcBorders>
            <w:shd w:val="clear" w:color="auto" w:fill="auto"/>
            <w:vAlign w:val="center"/>
            <w:hideMark/>
          </w:tcPr>
          <w:p w14:paraId="0193CF80" w14:textId="77777777" w:rsidR="00065F90" w:rsidRPr="00553AEA" w:rsidRDefault="00065F90" w:rsidP="00065F90">
            <w:pPr>
              <w:jc w:val="left"/>
              <w:rPr>
                <w:rFonts w:ascii="Calibri" w:hAnsi="Calibri"/>
                <w:sz w:val="20"/>
                <w:szCs w:val="20"/>
              </w:rPr>
            </w:pPr>
            <w:r w:rsidRPr="00553AEA">
              <w:rPr>
                <w:rFonts w:ascii="Calibri" w:hAnsi="Calibri"/>
                <w:sz w:val="20"/>
                <w:szCs w:val="20"/>
                <w:lang w:val="sr-Cyrl-BA"/>
              </w:rPr>
              <w:t>Трошкови пореза- Уговор ван раног односа</w:t>
            </w:r>
          </w:p>
        </w:tc>
        <w:tc>
          <w:tcPr>
            <w:tcW w:w="1340" w:type="dxa"/>
            <w:tcBorders>
              <w:top w:val="nil"/>
              <w:left w:val="nil"/>
              <w:bottom w:val="single" w:sz="4" w:space="0" w:color="auto"/>
              <w:right w:val="single" w:sz="4" w:space="0" w:color="auto"/>
            </w:tcBorders>
            <w:shd w:val="clear" w:color="auto" w:fill="auto"/>
            <w:noWrap/>
            <w:vAlign w:val="center"/>
            <w:hideMark/>
          </w:tcPr>
          <w:p w14:paraId="1E8C06F7" w14:textId="77777777" w:rsidR="00065F90" w:rsidRPr="00553AEA" w:rsidRDefault="00065F90" w:rsidP="00065F90">
            <w:pPr>
              <w:jc w:val="right"/>
              <w:rPr>
                <w:rFonts w:ascii="Calibri" w:hAnsi="Calibri"/>
                <w:sz w:val="20"/>
                <w:szCs w:val="20"/>
              </w:rPr>
            </w:pPr>
            <w:r w:rsidRPr="00553AEA">
              <w:rPr>
                <w:rFonts w:ascii="Calibri" w:hAnsi="Calibri"/>
                <w:sz w:val="20"/>
                <w:szCs w:val="20"/>
                <w:lang w:val="sr-Latn-RS"/>
              </w:rPr>
              <w:t> </w:t>
            </w:r>
          </w:p>
        </w:tc>
        <w:tc>
          <w:tcPr>
            <w:tcW w:w="1320" w:type="dxa"/>
            <w:tcBorders>
              <w:top w:val="nil"/>
              <w:left w:val="nil"/>
              <w:bottom w:val="single" w:sz="4" w:space="0" w:color="auto"/>
              <w:right w:val="single" w:sz="4" w:space="0" w:color="auto"/>
            </w:tcBorders>
            <w:shd w:val="clear" w:color="auto" w:fill="auto"/>
            <w:noWrap/>
            <w:vAlign w:val="center"/>
            <w:hideMark/>
          </w:tcPr>
          <w:p w14:paraId="7CF404A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5.609,51</w:t>
            </w:r>
          </w:p>
        </w:tc>
        <w:tc>
          <w:tcPr>
            <w:tcW w:w="1080" w:type="dxa"/>
            <w:tcBorders>
              <w:top w:val="nil"/>
              <w:left w:val="nil"/>
              <w:bottom w:val="single" w:sz="4" w:space="0" w:color="auto"/>
              <w:right w:val="single" w:sz="4" w:space="0" w:color="auto"/>
            </w:tcBorders>
            <w:shd w:val="clear" w:color="auto" w:fill="auto"/>
            <w:noWrap/>
            <w:vAlign w:val="center"/>
            <w:hideMark/>
          </w:tcPr>
          <w:p w14:paraId="3864491C"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5F19359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11EA0F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6522</w:t>
            </w:r>
          </w:p>
        </w:tc>
        <w:tc>
          <w:tcPr>
            <w:tcW w:w="4320" w:type="dxa"/>
            <w:tcBorders>
              <w:top w:val="nil"/>
              <w:left w:val="nil"/>
              <w:bottom w:val="single" w:sz="4" w:space="0" w:color="auto"/>
              <w:right w:val="single" w:sz="4" w:space="0" w:color="auto"/>
            </w:tcBorders>
            <w:shd w:val="clear" w:color="auto" w:fill="auto"/>
            <w:vAlign w:val="center"/>
            <w:hideMark/>
          </w:tcPr>
          <w:p w14:paraId="4F11650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за накнаде Надзорни одбор</w:t>
            </w:r>
          </w:p>
        </w:tc>
        <w:tc>
          <w:tcPr>
            <w:tcW w:w="1340" w:type="dxa"/>
            <w:tcBorders>
              <w:top w:val="nil"/>
              <w:left w:val="nil"/>
              <w:bottom w:val="single" w:sz="4" w:space="0" w:color="auto"/>
              <w:right w:val="single" w:sz="4" w:space="0" w:color="auto"/>
            </w:tcBorders>
            <w:shd w:val="clear" w:color="auto" w:fill="auto"/>
            <w:noWrap/>
            <w:vAlign w:val="center"/>
            <w:hideMark/>
          </w:tcPr>
          <w:p w14:paraId="695D230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5.390,00</w:t>
            </w:r>
          </w:p>
        </w:tc>
        <w:tc>
          <w:tcPr>
            <w:tcW w:w="1320" w:type="dxa"/>
            <w:tcBorders>
              <w:top w:val="nil"/>
              <w:left w:val="nil"/>
              <w:bottom w:val="single" w:sz="4" w:space="0" w:color="auto"/>
              <w:right w:val="single" w:sz="4" w:space="0" w:color="auto"/>
            </w:tcBorders>
            <w:shd w:val="clear" w:color="auto" w:fill="auto"/>
            <w:noWrap/>
            <w:vAlign w:val="center"/>
            <w:hideMark/>
          </w:tcPr>
          <w:p w14:paraId="3515451E"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5.155,35</w:t>
            </w:r>
          </w:p>
        </w:tc>
        <w:tc>
          <w:tcPr>
            <w:tcW w:w="1080" w:type="dxa"/>
            <w:tcBorders>
              <w:top w:val="nil"/>
              <w:left w:val="nil"/>
              <w:bottom w:val="single" w:sz="4" w:space="0" w:color="auto"/>
              <w:right w:val="single" w:sz="4" w:space="0" w:color="auto"/>
            </w:tcBorders>
            <w:shd w:val="clear" w:color="auto" w:fill="auto"/>
            <w:noWrap/>
            <w:vAlign w:val="center"/>
            <w:hideMark/>
          </w:tcPr>
          <w:p w14:paraId="0C09629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95,65</w:t>
            </w:r>
          </w:p>
        </w:tc>
      </w:tr>
      <w:tr w:rsidR="00065F90" w:rsidRPr="00553AEA" w14:paraId="07060138"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52ACFA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6523</w:t>
            </w:r>
          </w:p>
        </w:tc>
        <w:tc>
          <w:tcPr>
            <w:tcW w:w="4320" w:type="dxa"/>
            <w:tcBorders>
              <w:top w:val="nil"/>
              <w:left w:val="nil"/>
              <w:bottom w:val="single" w:sz="4" w:space="0" w:color="auto"/>
              <w:right w:val="single" w:sz="4" w:space="0" w:color="auto"/>
            </w:tcBorders>
            <w:shd w:val="clear" w:color="auto" w:fill="auto"/>
            <w:vAlign w:val="center"/>
            <w:hideMark/>
          </w:tcPr>
          <w:p w14:paraId="366D3108"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по пореској картици</w:t>
            </w:r>
          </w:p>
        </w:tc>
        <w:tc>
          <w:tcPr>
            <w:tcW w:w="1340" w:type="dxa"/>
            <w:tcBorders>
              <w:top w:val="nil"/>
              <w:left w:val="nil"/>
              <w:bottom w:val="single" w:sz="4" w:space="0" w:color="auto"/>
              <w:right w:val="single" w:sz="4" w:space="0" w:color="auto"/>
            </w:tcBorders>
            <w:shd w:val="clear" w:color="auto" w:fill="auto"/>
            <w:noWrap/>
            <w:vAlign w:val="center"/>
            <w:hideMark/>
          </w:tcPr>
          <w:p w14:paraId="15FEC0F2"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1.450,00</w:t>
            </w:r>
          </w:p>
        </w:tc>
        <w:tc>
          <w:tcPr>
            <w:tcW w:w="1320" w:type="dxa"/>
            <w:tcBorders>
              <w:top w:val="nil"/>
              <w:left w:val="nil"/>
              <w:bottom w:val="single" w:sz="4" w:space="0" w:color="auto"/>
              <w:right w:val="single" w:sz="4" w:space="0" w:color="auto"/>
            </w:tcBorders>
            <w:shd w:val="clear" w:color="auto" w:fill="auto"/>
            <w:noWrap/>
            <w:vAlign w:val="center"/>
            <w:hideMark/>
          </w:tcPr>
          <w:p w14:paraId="693CD0D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1.915,44</w:t>
            </w:r>
          </w:p>
        </w:tc>
        <w:tc>
          <w:tcPr>
            <w:tcW w:w="1080" w:type="dxa"/>
            <w:tcBorders>
              <w:top w:val="nil"/>
              <w:left w:val="nil"/>
              <w:bottom w:val="single" w:sz="4" w:space="0" w:color="auto"/>
              <w:right w:val="single" w:sz="4" w:space="0" w:color="auto"/>
            </w:tcBorders>
            <w:shd w:val="clear" w:color="auto" w:fill="auto"/>
            <w:noWrap/>
            <w:vAlign w:val="center"/>
            <w:hideMark/>
          </w:tcPr>
          <w:p w14:paraId="5D259D0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132,10</w:t>
            </w:r>
          </w:p>
        </w:tc>
      </w:tr>
      <w:tr w:rsidR="00065F90" w:rsidRPr="00553AEA" w14:paraId="111BAD94"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C69757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6525</w:t>
            </w:r>
          </w:p>
        </w:tc>
        <w:tc>
          <w:tcPr>
            <w:tcW w:w="4320" w:type="dxa"/>
            <w:tcBorders>
              <w:top w:val="nil"/>
              <w:left w:val="nil"/>
              <w:bottom w:val="single" w:sz="4" w:space="0" w:color="auto"/>
              <w:right w:val="single" w:sz="4" w:space="0" w:color="auto"/>
            </w:tcBorders>
            <w:shd w:val="clear" w:color="auto" w:fill="auto"/>
            <w:vAlign w:val="center"/>
            <w:hideMark/>
          </w:tcPr>
          <w:p w14:paraId="44CD4CCC"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на зараде и накнаде зарада –регрес</w:t>
            </w:r>
          </w:p>
        </w:tc>
        <w:tc>
          <w:tcPr>
            <w:tcW w:w="1340" w:type="dxa"/>
            <w:tcBorders>
              <w:top w:val="nil"/>
              <w:left w:val="nil"/>
              <w:bottom w:val="single" w:sz="4" w:space="0" w:color="auto"/>
              <w:right w:val="single" w:sz="4" w:space="0" w:color="auto"/>
            </w:tcBorders>
            <w:shd w:val="clear" w:color="auto" w:fill="auto"/>
            <w:noWrap/>
            <w:vAlign w:val="center"/>
            <w:hideMark/>
          </w:tcPr>
          <w:p w14:paraId="130808C7"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2.386,00</w:t>
            </w:r>
          </w:p>
        </w:tc>
        <w:tc>
          <w:tcPr>
            <w:tcW w:w="1320" w:type="dxa"/>
            <w:tcBorders>
              <w:top w:val="nil"/>
              <w:left w:val="nil"/>
              <w:bottom w:val="single" w:sz="4" w:space="0" w:color="auto"/>
              <w:right w:val="single" w:sz="4" w:space="0" w:color="auto"/>
            </w:tcBorders>
            <w:shd w:val="clear" w:color="auto" w:fill="auto"/>
            <w:noWrap/>
            <w:vAlign w:val="center"/>
            <w:hideMark/>
          </w:tcPr>
          <w:p w14:paraId="3645658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2.830,63</w:t>
            </w:r>
          </w:p>
        </w:tc>
        <w:tc>
          <w:tcPr>
            <w:tcW w:w="1080" w:type="dxa"/>
            <w:tcBorders>
              <w:top w:val="nil"/>
              <w:left w:val="nil"/>
              <w:bottom w:val="single" w:sz="4" w:space="0" w:color="auto"/>
              <w:right w:val="single" w:sz="4" w:space="0" w:color="auto"/>
            </w:tcBorders>
            <w:shd w:val="clear" w:color="auto" w:fill="auto"/>
            <w:noWrap/>
            <w:vAlign w:val="center"/>
            <w:hideMark/>
          </w:tcPr>
          <w:p w14:paraId="1F54BE7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118,63</w:t>
            </w:r>
          </w:p>
        </w:tc>
      </w:tr>
      <w:tr w:rsidR="00065F90" w:rsidRPr="00553AEA" w14:paraId="343197C4"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DDED22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6526</w:t>
            </w:r>
          </w:p>
        </w:tc>
        <w:tc>
          <w:tcPr>
            <w:tcW w:w="4320" w:type="dxa"/>
            <w:tcBorders>
              <w:top w:val="nil"/>
              <w:left w:val="nil"/>
              <w:bottom w:val="single" w:sz="4" w:space="0" w:color="auto"/>
              <w:right w:val="single" w:sz="4" w:space="0" w:color="auto"/>
            </w:tcBorders>
            <w:shd w:val="clear" w:color="auto" w:fill="auto"/>
            <w:vAlign w:val="center"/>
            <w:hideMark/>
          </w:tcPr>
          <w:p w14:paraId="1830A4F1"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на зараде и нак. зарада – Одбор за ревизију</w:t>
            </w:r>
          </w:p>
        </w:tc>
        <w:tc>
          <w:tcPr>
            <w:tcW w:w="1340" w:type="dxa"/>
            <w:tcBorders>
              <w:top w:val="nil"/>
              <w:left w:val="nil"/>
              <w:bottom w:val="single" w:sz="4" w:space="0" w:color="auto"/>
              <w:right w:val="single" w:sz="4" w:space="0" w:color="auto"/>
            </w:tcBorders>
            <w:shd w:val="clear" w:color="auto" w:fill="auto"/>
            <w:noWrap/>
            <w:vAlign w:val="center"/>
            <w:hideMark/>
          </w:tcPr>
          <w:p w14:paraId="1D3480C1"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2.152,00</w:t>
            </w:r>
          </w:p>
        </w:tc>
        <w:tc>
          <w:tcPr>
            <w:tcW w:w="1320" w:type="dxa"/>
            <w:tcBorders>
              <w:top w:val="nil"/>
              <w:left w:val="nil"/>
              <w:bottom w:val="single" w:sz="4" w:space="0" w:color="auto"/>
              <w:right w:val="single" w:sz="4" w:space="0" w:color="auto"/>
            </w:tcBorders>
            <w:shd w:val="clear" w:color="auto" w:fill="auto"/>
            <w:noWrap/>
            <w:vAlign w:val="center"/>
            <w:hideMark/>
          </w:tcPr>
          <w:p w14:paraId="023C1F5E"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1.855,80</w:t>
            </w:r>
          </w:p>
        </w:tc>
        <w:tc>
          <w:tcPr>
            <w:tcW w:w="1080" w:type="dxa"/>
            <w:tcBorders>
              <w:top w:val="nil"/>
              <w:left w:val="nil"/>
              <w:bottom w:val="single" w:sz="4" w:space="0" w:color="auto"/>
              <w:right w:val="single" w:sz="4" w:space="0" w:color="auto"/>
            </w:tcBorders>
            <w:shd w:val="clear" w:color="auto" w:fill="auto"/>
            <w:noWrap/>
            <w:vAlign w:val="center"/>
            <w:hideMark/>
          </w:tcPr>
          <w:p w14:paraId="578C15EA"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86,24</w:t>
            </w:r>
          </w:p>
        </w:tc>
      </w:tr>
      <w:tr w:rsidR="00065F90" w:rsidRPr="00553AEA" w14:paraId="501F4F84"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D97F7F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6527</w:t>
            </w:r>
          </w:p>
        </w:tc>
        <w:tc>
          <w:tcPr>
            <w:tcW w:w="4320" w:type="dxa"/>
            <w:tcBorders>
              <w:top w:val="nil"/>
              <w:left w:val="nil"/>
              <w:bottom w:val="single" w:sz="4" w:space="0" w:color="auto"/>
              <w:right w:val="single" w:sz="4" w:space="0" w:color="auto"/>
            </w:tcBorders>
            <w:shd w:val="clear" w:color="auto" w:fill="auto"/>
            <w:vAlign w:val="center"/>
            <w:hideMark/>
          </w:tcPr>
          <w:p w14:paraId="7A0FCC29"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пореза на зараде и нак.зарада дир.интерне ревизије</w:t>
            </w:r>
          </w:p>
        </w:tc>
        <w:tc>
          <w:tcPr>
            <w:tcW w:w="1340" w:type="dxa"/>
            <w:tcBorders>
              <w:top w:val="nil"/>
              <w:left w:val="nil"/>
              <w:bottom w:val="single" w:sz="4" w:space="0" w:color="auto"/>
              <w:right w:val="single" w:sz="4" w:space="0" w:color="auto"/>
            </w:tcBorders>
            <w:shd w:val="clear" w:color="auto" w:fill="auto"/>
            <w:noWrap/>
            <w:vAlign w:val="center"/>
            <w:hideMark/>
          </w:tcPr>
          <w:p w14:paraId="4B184B96"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897,00</w:t>
            </w:r>
          </w:p>
        </w:tc>
        <w:tc>
          <w:tcPr>
            <w:tcW w:w="1320" w:type="dxa"/>
            <w:tcBorders>
              <w:top w:val="nil"/>
              <w:left w:val="nil"/>
              <w:bottom w:val="single" w:sz="4" w:space="0" w:color="auto"/>
              <w:right w:val="single" w:sz="4" w:space="0" w:color="auto"/>
            </w:tcBorders>
            <w:shd w:val="clear" w:color="auto" w:fill="auto"/>
            <w:noWrap/>
            <w:vAlign w:val="center"/>
            <w:hideMark/>
          </w:tcPr>
          <w:p w14:paraId="7E189BB8"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824,79</w:t>
            </w:r>
          </w:p>
        </w:tc>
        <w:tc>
          <w:tcPr>
            <w:tcW w:w="1080" w:type="dxa"/>
            <w:tcBorders>
              <w:top w:val="nil"/>
              <w:left w:val="nil"/>
              <w:bottom w:val="single" w:sz="4" w:space="0" w:color="auto"/>
              <w:right w:val="single" w:sz="4" w:space="0" w:color="auto"/>
            </w:tcBorders>
            <w:shd w:val="clear" w:color="auto" w:fill="auto"/>
            <w:noWrap/>
            <w:vAlign w:val="center"/>
            <w:hideMark/>
          </w:tcPr>
          <w:p w14:paraId="111AE71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91,95</w:t>
            </w:r>
          </w:p>
        </w:tc>
      </w:tr>
      <w:tr w:rsidR="00065F90" w:rsidRPr="00553AEA" w14:paraId="1A2A2E8D"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C3A5AB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6529</w:t>
            </w:r>
          </w:p>
        </w:tc>
        <w:tc>
          <w:tcPr>
            <w:tcW w:w="4320" w:type="dxa"/>
            <w:tcBorders>
              <w:top w:val="nil"/>
              <w:left w:val="nil"/>
              <w:bottom w:val="single" w:sz="4" w:space="0" w:color="auto"/>
              <w:right w:val="single" w:sz="4" w:space="0" w:color="auto"/>
            </w:tcBorders>
            <w:shd w:val="clear" w:color="auto" w:fill="auto"/>
            <w:vAlign w:val="center"/>
            <w:hideMark/>
          </w:tcPr>
          <w:p w14:paraId="45B6D733"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Tрошкови пореза на зараде и нак.зарада –порез уговор о дјелу</w:t>
            </w:r>
          </w:p>
        </w:tc>
        <w:tc>
          <w:tcPr>
            <w:tcW w:w="1340" w:type="dxa"/>
            <w:tcBorders>
              <w:top w:val="nil"/>
              <w:left w:val="nil"/>
              <w:bottom w:val="single" w:sz="4" w:space="0" w:color="auto"/>
              <w:right w:val="single" w:sz="4" w:space="0" w:color="auto"/>
            </w:tcBorders>
            <w:shd w:val="clear" w:color="auto" w:fill="auto"/>
            <w:noWrap/>
            <w:vAlign w:val="center"/>
            <w:hideMark/>
          </w:tcPr>
          <w:p w14:paraId="126AACA0"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216D3B9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1.909,74</w:t>
            </w:r>
          </w:p>
        </w:tc>
        <w:tc>
          <w:tcPr>
            <w:tcW w:w="1080" w:type="dxa"/>
            <w:tcBorders>
              <w:top w:val="nil"/>
              <w:left w:val="nil"/>
              <w:bottom w:val="single" w:sz="4" w:space="0" w:color="auto"/>
              <w:right w:val="single" w:sz="4" w:space="0" w:color="auto"/>
            </w:tcBorders>
            <w:shd w:val="clear" w:color="auto" w:fill="auto"/>
            <w:noWrap/>
            <w:vAlign w:val="center"/>
            <w:hideMark/>
          </w:tcPr>
          <w:p w14:paraId="7693AB9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95,49</w:t>
            </w:r>
          </w:p>
        </w:tc>
      </w:tr>
      <w:tr w:rsidR="00065F90" w:rsidRPr="00553AEA" w14:paraId="3919FA8D" w14:textId="77777777" w:rsidTr="009634B9">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5F488C58"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653</w:t>
            </w:r>
          </w:p>
        </w:tc>
        <w:tc>
          <w:tcPr>
            <w:tcW w:w="4320" w:type="dxa"/>
            <w:tcBorders>
              <w:top w:val="nil"/>
              <w:left w:val="nil"/>
              <w:bottom w:val="single" w:sz="4" w:space="0" w:color="auto"/>
              <w:right w:val="single" w:sz="4" w:space="0" w:color="auto"/>
            </w:tcBorders>
            <w:shd w:val="clear" w:color="000000" w:fill="C5D9F1"/>
            <w:vAlign w:val="center"/>
            <w:hideMark/>
          </w:tcPr>
          <w:p w14:paraId="7D3D03DA"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доприноса на зараде и накнаде зарада</w:t>
            </w:r>
          </w:p>
        </w:tc>
        <w:tc>
          <w:tcPr>
            <w:tcW w:w="1340" w:type="dxa"/>
            <w:tcBorders>
              <w:top w:val="nil"/>
              <w:left w:val="nil"/>
              <w:bottom w:val="single" w:sz="4" w:space="0" w:color="auto"/>
              <w:right w:val="single" w:sz="4" w:space="0" w:color="auto"/>
            </w:tcBorders>
            <w:shd w:val="clear" w:color="000000" w:fill="C5D9F1"/>
            <w:noWrap/>
            <w:vAlign w:val="center"/>
            <w:hideMark/>
          </w:tcPr>
          <w:p w14:paraId="28C9B403"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450.000,00</w:t>
            </w:r>
          </w:p>
        </w:tc>
        <w:tc>
          <w:tcPr>
            <w:tcW w:w="1320" w:type="dxa"/>
            <w:tcBorders>
              <w:top w:val="nil"/>
              <w:left w:val="nil"/>
              <w:bottom w:val="single" w:sz="4" w:space="0" w:color="auto"/>
              <w:right w:val="single" w:sz="4" w:space="0" w:color="auto"/>
            </w:tcBorders>
            <w:shd w:val="clear" w:color="000000" w:fill="C5D9F1"/>
            <w:noWrap/>
            <w:vAlign w:val="center"/>
            <w:hideMark/>
          </w:tcPr>
          <w:p w14:paraId="5D0BADA1"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435.557,72</w:t>
            </w:r>
          </w:p>
        </w:tc>
        <w:tc>
          <w:tcPr>
            <w:tcW w:w="1080" w:type="dxa"/>
            <w:tcBorders>
              <w:top w:val="nil"/>
              <w:left w:val="nil"/>
              <w:bottom w:val="single" w:sz="4" w:space="0" w:color="auto"/>
              <w:right w:val="single" w:sz="4" w:space="0" w:color="auto"/>
            </w:tcBorders>
            <w:shd w:val="clear" w:color="000000" w:fill="C5D9F1"/>
            <w:noWrap/>
            <w:vAlign w:val="center"/>
            <w:hideMark/>
          </w:tcPr>
          <w:p w14:paraId="2410F1D3"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96,79</w:t>
            </w:r>
          </w:p>
        </w:tc>
      </w:tr>
      <w:tr w:rsidR="00065F90" w:rsidRPr="00553AEA" w14:paraId="74745AFF"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4ADD75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6530</w:t>
            </w:r>
          </w:p>
        </w:tc>
        <w:tc>
          <w:tcPr>
            <w:tcW w:w="4320" w:type="dxa"/>
            <w:tcBorders>
              <w:top w:val="nil"/>
              <w:left w:val="nil"/>
              <w:bottom w:val="single" w:sz="4" w:space="0" w:color="auto"/>
              <w:right w:val="single" w:sz="4" w:space="0" w:color="auto"/>
            </w:tcBorders>
            <w:shd w:val="clear" w:color="auto" w:fill="auto"/>
            <w:vAlign w:val="center"/>
            <w:hideMark/>
          </w:tcPr>
          <w:p w14:paraId="0C2A7EC5"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 зарада</w:t>
            </w:r>
          </w:p>
        </w:tc>
        <w:tc>
          <w:tcPr>
            <w:tcW w:w="1340" w:type="dxa"/>
            <w:tcBorders>
              <w:top w:val="nil"/>
              <w:left w:val="nil"/>
              <w:bottom w:val="single" w:sz="4" w:space="0" w:color="auto"/>
              <w:right w:val="single" w:sz="4" w:space="0" w:color="auto"/>
            </w:tcBorders>
            <w:shd w:val="clear" w:color="auto" w:fill="auto"/>
            <w:noWrap/>
            <w:vAlign w:val="center"/>
            <w:hideMark/>
          </w:tcPr>
          <w:p w14:paraId="554E0975"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378.370,00</w:t>
            </w:r>
          </w:p>
        </w:tc>
        <w:tc>
          <w:tcPr>
            <w:tcW w:w="1320" w:type="dxa"/>
            <w:tcBorders>
              <w:top w:val="nil"/>
              <w:left w:val="nil"/>
              <w:bottom w:val="single" w:sz="4" w:space="0" w:color="auto"/>
              <w:right w:val="single" w:sz="4" w:space="0" w:color="auto"/>
            </w:tcBorders>
            <w:shd w:val="clear" w:color="auto" w:fill="auto"/>
            <w:noWrap/>
            <w:vAlign w:val="center"/>
            <w:hideMark/>
          </w:tcPr>
          <w:p w14:paraId="2DCDA8B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350.054,67</w:t>
            </w:r>
          </w:p>
        </w:tc>
        <w:tc>
          <w:tcPr>
            <w:tcW w:w="1080" w:type="dxa"/>
            <w:tcBorders>
              <w:top w:val="nil"/>
              <w:left w:val="nil"/>
              <w:bottom w:val="single" w:sz="4" w:space="0" w:color="auto"/>
              <w:right w:val="single" w:sz="4" w:space="0" w:color="auto"/>
            </w:tcBorders>
            <w:shd w:val="clear" w:color="auto" w:fill="auto"/>
            <w:noWrap/>
            <w:vAlign w:val="center"/>
            <w:hideMark/>
          </w:tcPr>
          <w:p w14:paraId="45CD6A5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92,52</w:t>
            </w:r>
          </w:p>
        </w:tc>
      </w:tr>
      <w:tr w:rsidR="00065F90" w:rsidRPr="00553AEA" w14:paraId="5AF7F9BC"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ED3E3F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6531</w:t>
            </w:r>
          </w:p>
        </w:tc>
        <w:tc>
          <w:tcPr>
            <w:tcW w:w="4320" w:type="dxa"/>
            <w:tcBorders>
              <w:top w:val="nil"/>
              <w:left w:val="nil"/>
              <w:bottom w:val="single" w:sz="4" w:space="0" w:color="auto"/>
              <w:right w:val="single" w:sz="4" w:space="0" w:color="auto"/>
            </w:tcBorders>
            <w:shd w:val="clear" w:color="auto" w:fill="auto"/>
            <w:vAlign w:val="center"/>
            <w:hideMark/>
          </w:tcPr>
          <w:p w14:paraId="11DD7A56"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за топли оброк</w:t>
            </w:r>
          </w:p>
        </w:tc>
        <w:tc>
          <w:tcPr>
            <w:tcW w:w="1340" w:type="dxa"/>
            <w:tcBorders>
              <w:top w:val="nil"/>
              <w:left w:val="nil"/>
              <w:bottom w:val="single" w:sz="4" w:space="0" w:color="auto"/>
              <w:right w:val="single" w:sz="4" w:space="0" w:color="auto"/>
            </w:tcBorders>
            <w:shd w:val="clear" w:color="auto" w:fill="auto"/>
            <w:noWrap/>
            <w:vAlign w:val="center"/>
            <w:hideMark/>
          </w:tcPr>
          <w:p w14:paraId="78AAF587"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25.953,00</w:t>
            </w:r>
          </w:p>
        </w:tc>
        <w:tc>
          <w:tcPr>
            <w:tcW w:w="1320" w:type="dxa"/>
            <w:tcBorders>
              <w:top w:val="nil"/>
              <w:left w:val="nil"/>
              <w:bottom w:val="single" w:sz="4" w:space="0" w:color="auto"/>
              <w:right w:val="single" w:sz="4" w:space="0" w:color="auto"/>
            </w:tcBorders>
            <w:shd w:val="clear" w:color="auto" w:fill="auto"/>
            <w:noWrap/>
            <w:vAlign w:val="center"/>
            <w:hideMark/>
          </w:tcPr>
          <w:p w14:paraId="519A366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20.493,38</w:t>
            </w:r>
          </w:p>
        </w:tc>
        <w:tc>
          <w:tcPr>
            <w:tcW w:w="1080" w:type="dxa"/>
            <w:tcBorders>
              <w:top w:val="nil"/>
              <w:left w:val="nil"/>
              <w:bottom w:val="single" w:sz="4" w:space="0" w:color="auto"/>
              <w:right w:val="single" w:sz="4" w:space="0" w:color="auto"/>
            </w:tcBorders>
            <w:shd w:val="clear" w:color="auto" w:fill="auto"/>
            <w:noWrap/>
            <w:vAlign w:val="center"/>
            <w:hideMark/>
          </w:tcPr>
          <w:p w14:paraId="2425D8B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78,96</w:t>
            </w:r>
          </w:p>
        </w:tc>
      </w:tr>
      <w:tr w:rsidR="00065F90" w:rsidRPr="00553AEA" w14:paraId="5B211924"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6349AE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65312</w:t>
            </w:r>
          </w:p>
        </w:tc>
        <w:tc>
          <w:tcPr>
            <w:tcW w:w="4320" w:type="dxa"/>
            <w:tcBorders>
              <w:top w:val="nil"/>
              <w:left w:val="nil"/>
              <w:bottom w:val="single" w:sz="4" w:space="0" w:color="auto"/>
              <w:right w:val="single" w:sz="4" w:space="0" w:color="auto"/>
            </w:tcBorders>
            <w:shd w:val="clear" w:color="auto" w:fill="auto"/>
            <w:vAlign w:val="center"/>
            <w:hideMark/>
          </w:tcPr>
          <w:p w14:paraId="5B27888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 зарада – ауторски рад</w:t>
            </w:r>
          </w:p>
        </w:tc>
        <w:tc>
          <w:tcPr>
            <w:tcW w:w="1340" w:type="dxa"/>
            <w:tcBorders>
              <w:top w:val="nil"/>
              <w:left w:val="nil"/>
              <w:bottom w:val="single" w:sz="4" w:space="0" w:color="auto"/>
              <w:right w:val="single" w:sz="4" w:space="0" w:color="auto"/>
            </w:tcBorders>
            <w:shd w:val="clear" w:color="auto" w:fill="auto"/>
            <w:noWrap/>
            <w:vAlign w:val="center"/>
            <w:hideMark/>
          </w:tcPr>
          <w:p w14:paraId="16AE7426"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3DAA910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1.480,00</w:t>
            </w:r>
          </w:p>
        </w:tc>
        <w:tc>
          <w:tcPr>
            <w:tcW w:w="1080" w:type="dxa"/>
            <w:tcBorders>
              <w:top w:val="nil"/>
              <w:left w:val="nil"/>
              <w:bottom w:val="single" w:sz="4" w:space="0" w:color="auto"/>
              <w:right w:val="single" w:sz="4" w:space="0" w:color="auto"/>
            </w:tcBorders>
            <w:shd w:val="clear" w:color="auto" w:fill="auto"/>
            <w:noWrap/>
            <w:vAlign w:val="center"/>
            <w:hideMark/>
          </w:tcPr>
          <w:p w14:paraId="5389738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74,00</w:t>
            </w:r>
          </w:p>
        </w:tc>
      </w:tr>
      <w:tr w:rsidR="00065F90" w:rsidRPr="00553AEA" w14:paraId="59884FF5"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FCE6EE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65313</w:t>
            </w:r>
          </w:p>
        </w:tc>
        <w:tc>
          <w:tcPr>
            <w:tcW w:w="4320" w:type="dxa"/>
            <w:tcBorders>
              <w:top w:val="nil"/>
              <w:left w:val="nil"/>
              <w:bottom w:val="single" w:sz="4" w:space="0" w:color="auto"/>
              <w:right w:val="single" w:sz="4" w:space="0" w:color="auto"/>
            </w:tcBorders>
            <w:shd w:val="clear" w:color="auto" w:fill="auto"/>
            <w:vAlign w:val="center"/>
            <w:hideMark/>
          </w:tcPr>
          <w:p w14:paraId="4D81017C"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 зарада- Уговор ван радног односа</w:t>
            </w:r>
          </w:p>
        </w:tc>
        <w:tc>
          <w:tcPr>
            <w:tcW w:w="1340" w:type="dxa"/>
            <w:tcBorders>
              <w:top w:val="nil"/>
              <w:left w:val="nil"/>
              <w:bottom w:val="single" w:sz="4" w:space="0" w:color="auto"/>
              <w:right w:val="single" w:sz="4" w:space="0" w:color="auto"/>
            </w:tcBorders>
            <w:shd w:val="clear" w:color="auto" w:fill="auto"/>
            <w:noWrap/>
            <w:vAlign w:val="center"/>
            <w:hideMark/>
          </w:tcPr>
          <w:p w14:paraId="6922D806" w14:textId="77777777" w:rsidR="00065F90" w:rsidRPr="00553AEA" w:rsidRDefault="00065F90" w:rsidP="00065F90">
            <w:pPr>
              <w:jc w:val="right"/>
              <w:rPr>
                <w:rFonts w:ascii="Calibri" w:hAnsi="Calibri"/>
                <w:sz w:val="20"/>
                <w:szCs w:val="20"/>
              </w:rPr>
            </w:pPr>
            <w:r w:rsidRPr="00553AEA">
              <w:rPr>
                <w:rFonts w:ascii="Calibri" w:hAnsi="Calibri"/>
                <w:sz w:val="20"/>
                <w:szCs w:val="20"/>
                <w:lang w:val="sr-Latn-RS"/>
              </w:rPr>
              <w:t> </w:t>
            </w:r>
          </w:p>
        </w:tc>
        <w:tc>
          <w:tcPr>
            <w:tcW w:w="1320" w:type="dxa"/>
            <w:tcBorders>
              <w:top w:val="nil"/>
              <w:left w:val="nil"/>
              <w:bottom w:val="single" w:sz="4" w:space="0" w:color="auto"/>
              <w:right w:val="single" w:sz="4" w:space="0" w:color="auto"/>
            </w:tcBorders>
            <w:shd w:val="clear" w:color="auto" w:fill="auto"/>
            <w:noWrap/>
            <w:vAlign w:val="center"/>
            <w:hideMark/>
          </w:tcPr>
          <w:p w14:paraId="78C6402F"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19.386,27</w:t>
            </w:r>
          </w:p>
        </w:tc>
        <w:tc>
          <w:tcPr>
            <w:tcW w:w="1080" w:type="dxa"/>
            <w:tcBorders>
              <w:top w:val="nil"/>
              <w:left w:val="nil"/>
              <w:bottom w:val="single" w:sz="4" w:space="0" w:color="auto"/>
              <w:right w:val="single" w:sz="4" w:space="0" w:color="auto"/>
            </w:tcBorders>
            <w:shd w:val="clear" w:color="auto" w:fill="auto"/>
            <w:noWrap/>
            <w:vAlign w:val="center"/>
            <w:hideMark/>
          </w:tcPr>
          <w:p w14:paraId="68993B64"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115AAF8F"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D7041AB"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6533</w:t>
            </w:r>
          </w:p>
        </w:tc>
        <w:tc>
          <w:tcPr>
            <w:tcW w:w="4320" w:type="dxa"/>
            <w:tcBorders>
              <w:top w:val="nil"/>
              <w:left w:val="nil"/>
              <w:bottom w:val="single" w:sz="4" w:space="0" w:color="auto"/>
              <w:right w:val="single" w:sz="4" w:space="0" w:color="auto"/>
            </w:tcBorders>
            <w:shd w:val="clear" w:color="auto" w:fill="auto"/>
            <w:vAlign w:val="center"/>
            <w:hideMark/>
          </w:tcPr>
          <w:p w14:paraId="36942AE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накнаде Надзорни одбор</w:t>
            </w:r>
          </w:p>
        </w:tc>
        <w:tc>
          <w:tcPr>
            <w:tcW w:w="1340" w:type="dxa"/>
            <w:tcBorders>
              <w:top w:val="nil"/>
              <w:left w:val="nil"/>
              <w:bottom w:val="single" w:sz="4" w:space="0" w:color="auto"/>
              <w:right w:val="single" w:sz="4" w:space="0" w:color="auto"/>
            </w:tcBorders>
            <w:shd w:val="clear" w:color="auto" w:fill="auto"/>
            <w:noWrap/>
            <w:vAlign w:val="center"/>
            <w:hideMark/>
          </w:tcPr>
          <w:p w14:paraId="6D3E4AA3"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18.591,00</w:t>
            </w:r>
          </w:p>
        </w:tc>
        <w:tc>
          <w:tcPr>
            <w:tcW w:w="1320" w:type="dxa"/>
            <w:tcBorders>
              <w:top w:val="nil"/>
              <w:left w:val="nil"/>
              <w:bottom w:val="single" w:sz="4" w:space="0" w:color="auto"/>
              <w:right w:val="single" w:sz="4" w:space="0" w:color="auto"/>
            </w:tcBorders>
            <w:shd w:val="clear" w:color="auto" w:fill="auto"/>
            <w:noWrap/>
            <w:vAlign w:val="center"/>
            <w:hideMark/>
          </w:tcPr>
          <w:p w14:paraId="09C238F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17.816,40</w:t>
            </w:r>
          </w:p>
        </w:tc>
        <w:tc>
          <w:tcPr>
            <w:tcW w:w="1080" w:type="dxa"/>
            <w:tcBorders>
              <w:top w:val="nil"/>
              <w:left w:val="nil"/>
              <w:bottom w:val="single" w:sz="4" w:space="0" w:color="auto"/>
              <w:right w:val="single" w:sz="4" w:space="0" w:color="auto"/>
            </w:tcBorders>
            <w:shd w:val="clear" w:color="auto" w:fill="auto"/>
            <w:noWrap/>
            <w:vAlign w:val="center"/>
            <w:hideMark/>
          </w:tcPr>
          <w:p w14:paraId="7B0F346A"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95,83</w:t>
            </w:r>
          </w:p>
        </w:tc>
      </w:tr>
      <w:tr w:rsidR="00065F90" w:rsidRPr="00553AEA" w14:paraId="6472E61A"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F0DCDE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6535</w:t>
            </w:r>
          </w:p>
        </w:tc>
        <w:tc>
          <w:tcPr>
            <w:tcW w:w="4320" w:type="dxa"/>
            <w:tcBorders>
              <w:top w:val="nil"/>
              <w:left w:val="nil"/>
              <w:bottom w:val="single" w:sz="4" w:space="0" w:color="auto"/>
              <w:right w:val="single" w:sz="4" w:space="0" w:color="auto"/>
            </w:tcBorders>
            <w:shd w:val="clear" w:color="auto" w:fill="auto"/>
            <w:vAlign w:val="center"/>
            <w:hideMark/>
          </w:tcPr>
          <w:p w14:paraId="2FA0DF4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накнаде – бенефицирани  радни стаж</w:t>
            </w:r>
          </w:p>
        </w:tc>
        <w:tc>
          <w:tcPr>
            <w:tcW w:w="1340" w:type="dxa"/>
            <w:tcBorders>
              <w:top w:val="nil"/>
              <w:left w:val="nil"/>
              <w:bottom w:val="single" w:sz="4" w:space="0" w:color="auto"/>
              <w:right w:val="single" w:sz="4" w:space="0" w:color="auto"/>
            </w:tcBorders>
            <w:shd w:val="clear" w:color="auto" w:fill="auto"/>
            <w:noWrap/>
            <w:vAlign w:val="center"/>
            <w:hideMark/>
          </w:tcPr>
          <w:p w14:paraId="49A3524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2.400,00</w:t>
            </w:r>
          </w:p>
        </w:tc>
        <w:tc>
          <w:tcPr>
            <w:tcW w:w="1320" w:type="dxa"/>
            <w:tcBorders>
              <w:top w:val="nil"/>
              <w:left w:val="nil"/>
              <w:bottom w:val="single" w:sz="4" w:space="0" w:color="auto"/>
              <w:right w:val="single" w:sz="4" w:space="0" w:color="auto"/>
            </w:tcBorders>
            <w:shd w:val="clear" w:color="auto" w:fill="auto"/>
            <w:noWrap/>
            <w:vAlign w:val="center"/>
            <w:hideMark/>
          </w:tcPr>
          <w:p w14:paraId="19986EAC"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2.759,86</w:t>
            </w:r>
          </w:p>
        </w:tc>
        <w:tc>
          <w:tcPr>
            <w:tcW w:w="1080" w:type="dxa"/>
            <w:tcBorders>
              <w:top w:val="nil"/>
              <w:left w:val="nil"/>
              <w:bottom w:val="single" w:sz="4" w:space="0" w:color="auto"/>
              <w:right w:val="single" w:sz="4" w:space="0" w:color="auto"/>
            </w:tcBorders>
            <w:shd w:val="clear" w:color="auto" w:fill="auto"/>
            <w:noWrap/>
            <w:vAlign w:val="center"/>
            <w:hideMark/>
          </w:tcPr>
          <w:p w14:paraId="07DA802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114,99</w:t>
            </w:r>
          </w:p>
        </w:tc>
      </w:tr>
      <w:tr w:rsidR="00065F90" w:rsidRPr="00553AEA" w14:paraId="1DA22DFA"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6F26B6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6536</w:t>
            </w:r>
          </w:p>
        </w:tc>
        <w:tc>
          <w:tcPr>
            <w:tcW w:w="4320" w:type="dxa"/>
            <w:tcBorders>
              <w:top w:val="nil"/>
              <w:left w:val="nil"/>
              <w:bottom w:val="single" w:sz="4" w:space="0" w:color="auto"/>
              <w:right w:val="single" w:sz="4" w:space="0" w:color="auto"/>
            </w:tcBorders>
            <w:shd w:val="clear" w:color="auto" w:fill="auto"/>
            <w:vAlign w:val="center"/>
            <w:hideMark/>
          </w:tcPr>
          <w:p w14:paraId="3D0F473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накнаде-регрес</w:t>
            </w:r>
          </w:p>
        </w:tc>
        <w:tc>
          <w:tcPr>
            <w:tcW w:w="1340" w:type="dxa"/>
            <w:tcBorders>
              <w:top w:val="nil"/>
              <w:left w:val="nil"/>
              <w:bottom w:val="single" w:sz="4" w:space="0" w:color="auto"/>
              <w:right w:val="single" w:sz="4" w:space="0" w:color="auto"/>
            </w:tcBorders>
            <w:shd w:val="clear" w:color="auto" w:fill="auto"/>
            <w:noWrap/>
            <w:vAlign w:val="center"/>
            <w:hideMark/>
          </w:tcPr>
          <w:p w14:paraId="0E2B683D"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9.244,00</w:t>
            </w:r>
          </w:p>
        </w:tc>
        <w:tc>
          <w:tcPr>
            <w:tcW w:w="1320" w:type="dxa"/>
            <w:tcBorders>
              <w:top w:val="nil"/>
              <w:left w:val="nil"/>
              <w:bottom w:val="single" w:sz="4" w:space="0" w:color="auto"/>
              <w:right w:val="single" w:sz="4" w:space="0" w:color="auto"/>
            </w:tcBorders>
            <w:shd w:val="clear" w:color="auto" w:fill="auto"/>
            <w:noWrap/>
            <w:vAlign w:val="center"/>
            <w:hideMark/>
          </w:tcPr>
          <w:p w14:paraId="324AB78A"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10.968,47</w:t>
            </w:r>
          </w:p>
        </w:tc>
        <w:tc>
          <w:tcPr>
            <w:tcW w:w="1080" w:type="dxa"/>
            <w:tcBorders>
              <w:top w:val="nil"/>
              <w:left w:val="nil"/>
              <w:bottom w:val="single" w:sz="4" w:space="0" w:color="auto"/>
              <w:right w:val="single" w:sz="4" w:space="0" w:color="auto"/>
            </w:tcBorders>
            <w:shd w:val="clear" w:color="auto" w:fill="auto"/>
            <w:noWrap/>
            <w:vAlign w:val="center"/>
            <w:hideMark/>
          </w:tcPr>
          <w:p w14:paraId="776FF8A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118,66</w:t>
            </w:r>
          </w:p>
        </w:tc>
      </w:tr>
      <w:tr w:rsidR="00065F90" w:rsidRPr="00553AEA" w14:paraId="24B0ABDA"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1CAA27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6537</w:t>
            </w:r>
          </w:p>
        </w:tc>
        <w:tc>
          <w:tcPr>
            <w:tcW w:w="4320" w:type="dxa"/>
            <w:tcBorders>
              <w:top w:val="nil"/>
              <w:left w:val="nil"/>
              <w:bottom w:val="single" w:sz="4" w:space="0" w:color="auto"/>
              <w:right w:val="single" w:sz="4" w:space="0" w:color="auto"/>
            </w:tcBorders>
            <w:shd w:val="clear" w:color="auto" w:fill="auto"/>
            <w:vAlign w:val="center"/>
            <w:hideMark/>
          </w:tcPr>
          <w:p w14:paraId="05C7967C"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нак.де зарада – Одбор за ревизију</w:t>
            </w:r>
          </w:p>
        </w:tc>
        <w:tc>
          <w:tcPr>
            <w:tcW w:w="1340" w:type="dxa"/>
            <w:tcBorders>
              <w:top w:val="nil"/>
              <w:left w:val="nil"/>
              <w:bottom w:val="single" w:sz="4" w:space="0" w:color="auto"/>
              <w:right w:val="single" w:sz="4" w:space="0" w:color="auto"/>
            </w:tcBorders>
            <w:shd w:val="clear" w:color="auto" w:fill="auto"/>
            <w:noWrap/>
            <w:vAlign w:val="center"/>
            <w:hideMark/>
          </w:tcPr>
          <w:p w14:paraId="54E4D236"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7.436,00</w:t>
            </w:r>
          </w:p>
        </w:tc>
        <w:tc>
          <w:tcPr>
            <w:tcW w:w="1320" w:type="dxa"/>
            <w:tcBorders>
              <w:top w:val="nil"/>
              <w:left w:val="nil"/>
              <w:bottom w:val="single" w:sz="4" w:space="0" w:color="auto"/>
              <w:right w:val="single" w:sz="4" w:space="0" w:color="auto"/>
            </w:tcBorders>
            <w:shd w:val="clear" w:color="auto" w:fill="auto"/>
            <w:noWrap/>
            <w:vAlign w:val="center"/>
            <w:hideMark/>
          </w:tcPr>
          <w:p w14:paraId="6961402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6.413,58</w:t>
            </w:r>
          </w:p>
        </w:tc>
        <w:tc>
          <w:tcPr>
            <w:tcW w:w="1080" w:type="dxa"/>
            <w:tcBorders>
              <w:top w:val="nil"/>
              <w:left w:val="nil"/>
              <w:bottom w:val="single" w:sz="4" w:space="0" w:color="auto"/>
              <w:right w:val="single" w:sz="4" w:space="0" w:color="auto"/>
            </w:tcBorders>
            <w:shd w:val="clear" w:color="auto" w:fill="auto"/>
            <w:noWrap/>
            <w:vAlign w:val="center"/>
            <w:hideMark/>
          </w:tcPr>
          <w:p w14:paraId="52E7E10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86,25</w:t>
            </w:r>
          </w:p>
        </w:tc>
      </w:tr>
      <w:tr w:rsidR="00065F90" w:rsidRPr="00553AEA" w14:paraId="13E56E46"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8BD89A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6538</w:t>
            </w:r>
          </w:p>
        </w:tc>
        <w:tc>
          <w:tcPr>
            <w:tcW w:w="4320" w:type="dxa"/>
            <w:tcBorders>
              <w:top w:val="nil"/>
              <w:left w:val="nil"/>
              <w:bottom w:val="single" w:sz="4" w:space="0" w:color="auto"/>
              <w:right w:val="single" w:sz="4" w:space="0" w:color="auto"/>
            </w:tcBorders>
            <w:shd w:val="clear" w:color="auto" w:fill="auto"/>
            <w:vAlign w:val="center"/>
            <w:hideMark/>
          </w:tcPr>
          <w:p w14:paraId="0A56EC78"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   - директор инт. Ревизије</w:t>
            </w:r>
          </w:p>
        </w:tc>
        <w:tc>
          <w:tcPr>
            <w:tcW w:w="1340" w:type="dxa"/>
            <w:tcBorders>
              <w:top w:val="nil"/>
              <w:left w:val="nil"/>
              <w:bottom w:val="single" w:sz="4" w:space="0" w:color="auto"/>
              <w:right w:val="single" w:sz="4" w:space="0" w:color="auto"/>
            </w:tcBorders>
            <w:shd w:val="clear" w:color="auto" w:fill="auto"/>
            <w:noWrap/>
            <w:vAlign w:val="center"/>
            <w:hideMark/>
          </w:tcPr>
          <w:p w14:paraId="43BA636D"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3.098,00</w:t>
            </w:r>
          </w:p>
        </w:tc>
        <w:tc>
          <w:tcPr>
            <w:tcW w:w="1320" w:type="dxa"/>
            <w:tcBorders>
              <w:top w:val="nil"/>
              <w:left w:val="nil"/>
              <w:bottom w:val="single" w:sz="4" w:space="0" w:color="auto"/>
              <w:right w:val="single" w:sz="4" w:space="0" w:color="auto"/>
            </w:tcBorders>
            <w:shd w:val="clear" w:color="auto" w:fill="auto"/>
            <w:noWrap/>
            <w:vAlign w:val="center"/>
            <w:hideMark/>
          </w:tcPr>
          <w:p w14:paraId="6085306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2.850,63</w:t>
            </w:r>
          </w:p>
        </w:tc>
        <w:tc>
          <w:tcPr>
            <w:tcW w:w="1080" w:type="dxa"/>
            <w:tcBorders>
              <w:top w:val="nil"/>
              <w:left w:val="nil"/>
              <w:bottom w:val="single" w:sz="4" w:space="0" w:color="auto"/>
              <w:right w:val="single" w:sz="4" w:space="0" w:color="auto"/>
            </w:tcBorders>
            <w:shd w:val="clear" w:color="auto" w:fill="auto"/>
            <w:noWrap/>
            <w:vAlign w:val="center"/>
            <w:hideMark/>
          </w:tcPr>
          <w:p w14:paraId="709EB72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92,02</w:t>
            </w:r>
          </w:p>
        </w:tc>
      </w:tr>
      <w:tr w:rsidR="00065F90" w:rsidRPr="00553AEA" w14:paraId="0E7CC3AE"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3C426E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65391</w:t>
            </w:r>
          </w:p>
        </w:tc>
        <w:tc>
          <w:tcPr>
            <w:tcW w:w="4320" w:type="dxa"/>
            <w:tcBorders>
              <w:top w:val="nil"/>
              <w:left w:val="nil"/>
              <w:bottom w:val="single" w:sz="4" w:space="0" w:color="auto"/>
              <w:right w:val="single" w:sz="4" w:space="0" w:color="auto"/>
            </w:tcBorders>
            <w:shd w:val="clear" w:color="auto" w:fill="auto"/>
            <w:vAlign w:val="center"/>
            <w:hideMark/>
          </w:tcPr>
          <w:p w14:paraId="771563F3"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доприноса на зараде и накнаде зараде – уговор о дјелу</w:t>
            </w:r>
          </w:p>
        </w:tc>
        <w:tc>
          <w:tcPr>
            <w:tcW w:w="1340" w:type="dxa"/>
            <w:tcBorders>
              <w:top w:val="nil"/>
              <w:left w:val="nil"/>
              <w:bottom w:val="single" w:sz="4" w:space="0" w:color="auto"/>
              <w:right w:val="single" w:sz="4" w:space="0" w:color="auto"/>
            </w:tcBorders>
            <w:shd w:val="clear" w:color="auto" w:fill="auto"/>
            <w:noWrap/>
            <w:vAlign w:val="center"/>
            <w:hideMark/>
          </w:tcPr>
          <w:p w14:paraId="0AA8610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3.374,49</w:t>
            </w:r>
          </w:p>
        </w:tc>
        <w:tc>
          <w:tcPr>
            <w:tcW w:w="1320" w:type="dxa"/>
            <w:tcBorders>
              <w:top w:val="nil"/>
              <w:left w:val="nil"/>
              <w:bottom w:val="single" w:sz="4" w:space="0" w:color="auto"/>
              <w:right w:val="single" w:sz="4" w:space="0" w:color="auto"/>
            </w:tcBorders>
            <w:shd w:val="clear" w:color="auto" w:fill="auto"/>
            <w:noWrap/>
            <w:vAlign w:val="center"/>
            <w:hideMark/>
          </w:tcPr>
          <w:p w14:paraId="789F3E34"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3.334,46</w:t>
            </w:r>
          </w:p>
        </w:tc>
        <w:tc>
          <w:tcPr>
            <w:tcW w:w="1080" w:type="dxa"/>
            <w:tcBorders>
              <w:top w:val="nil"/>
              <w:left w:val="nil"/>
              <w:bottom w:val="single" w:sz="4" w:space="0" w:color="auto"/>
              <w:right w:val="single" w:sz="4" w:space="0" w:color="auto"/>
            </w:tcBorders>
            <w:shd w:val="clear" w:color="auto" w:fill="auto"/>
            <w:noWrap/>
            <w:vAlign w:val="center"/>
            <w:hideMark/>
          </w:tcPr>
          <w:p w14:paraId="102249FA"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98,81</w:t>
            </w:r>
          </w:p>
        </w:tc>
      </w:tr>
      <w:tr w:rsidR="00065F90" w:rsidRPr="00553AEA" w14:paraId="4CF610AE" w14:textId="77777777" w:rsidTr="009634B9">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36BA51A"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654</w:t>
            </w:r>
          </w:p>
        </w:tc>
        <w:tc>
          <w:tcPr>
            <w:tcW w:w="4320" w:type="dxa"/>
            <w:tcBorders>
              <w:top w:val="nil"/>
              <w:left w:val="nil"/>
              <w:bottom w:val="single" w:sz="4" w:space="0" w:color="auto"/>
              <w:right w:val="single" w:sz="4" w:space="0" w:color="auto"/>
            </w:tcBorders>
            <w:shd w:val="clear" w:color="000000" w:fill="C5D9F1"/>
            <w:vAlign w:val="center"/>
            <w:hideMark/>
          </w:tcPr>
          <w:p w14:paraId="33A9CDCF"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накнада за привремене и повремене послове</w:t>
            </w:r>
          </w:p>
        </w:tc>
        <w:tc>
          <w:tcPr>
            <w:tcW w:w="1340" w:type="dxa"/>
            <w:tcBorders>
              <w:top w:val="nil"/>
              <w:left w:val="nil"/>
              <w:bottom w:val="single" w:sz="4" w:space="0" w:color="auto"/>
              <w:right w:val="single" w:sz="4" w:space="0" w:color="auto"/>
            </w:tcBorders>
            <w:shd w:val="clear" w:color="000000" w:fill="C5D9F1"/>
            <w:noWrap/>
            <w:vAlign w:val="center"/>
            <w:hideMark/>
          </w:tcPr>
          <w:p w14:paraId="14493F3D"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20.226,67</w:t>
            </w:r>
          </w:p>
        </w:tc>
        <w:tc>
          <w:tcPr>
            <w:tcW w:w="1320" w:type="dxa"/>
            <w:tcBorders>
              <w:top w:val="nil"/>
              <w:left w:val="nil"/>
              <w:bottom w:val="single" w:sz="4" w:space="0" w:color="auto"/>
              <w:right w:val="single" w:sz="4" w:space="0" w:color="auto"/>
            </w:tcBorders>
            <w:shd w:val="clear" w:color="000000" w:fill="C5D9F1"/>
            <w:noWrap/>
            <w:vAlign w:val="center"/>
            <w:hideMark/>
          </w:tcPr>
          <w:p w14:paraId="590BD41C"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18.780,00</w:t>
            </w:r>
          </w:p>
        </w:tc>
        <w:tc>
          <w:tcPr>
            <w:tcW w:w="1080" w:type="dxa"/>
            <w:tcBorders>
              <w:top w:val="nil"/>
              <w:left w:val="nil"/>
              <w:bottom w:val="single" w:sz="4" w:space="0" w:color="auto"/>
              <w:right w:val="single" w:sz="4" w:space="0" w:color="auto"/>
            </w:tcBorders>
            <w:shd w:val="clear" w:color="000000" w:fill="C5D9F1"/>
            <w:noWrap/>
            <w:vAlign w:val="center"/>
            <w:hideMark/>
          </w:tcPr>
          <w:p w14:paraId="35D524EB"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92,85</w:t>
            </w:r>
          </w:p>
        </w:tc>
      </w:tr>
      <w:tr w:rsidR="00065F90" w:rsidRPr="00553AEA" w14:paraId="4EF0E032"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EABDBA"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6540</w:t>
            </w:r>
          </w:p>
        </w:tc>
        <w:tc>
          <w:tcPr>
            <w:tcW w:w="4320" w:type="dxa"/>
            <w:tcBorders>
              <w:top w:val="nil"/>
              <w:left w:val="nil"/>
              <w:bottom w:val="single" w:sz="4" w:space="0" w:color="auto"/>
              <w:right w:val="single" w:sz="4" w:space="0" w:color="auto"/>
            </w:tcBorders>
            <w:shd w:val="clear" w:color="auto" w:fill="auto"/>
            <w:vAlign w:val="center"/>
            <w:hideMark/>
          </w:tcPr>
          <w:p w14:paraId="467D4C3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накнада за привремене и повремене послове-Уговор о дјелу нето</w:t>
            </w:r>
          </w:p>
        </w:tc>
        <w:tc>
          <w:tcPr>
            <w:tcW w:w="1340" w:type="dxa"/>
            <w:tcBorders>
              <w:top w:val="nil"/>
              <w:left w:val="nil"/>
              <w:bottom w:val="single" w:sz="4" w:space="0" w:color="auto"/>
              <w:right w:val="single" w:sz="4" w:space="0" w:color="auto"/>
            </w:tcBorders>
            <w:shd w:val="clear" w:color="auto" w:fill="auto"/>
            <w:noWrap/>
            <w:vAlign w:val="center"/>
            <w:hideMark/>
          </w:tcPr>
          <w:p w14:paraId="4FE24E1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14.226,67</w:t>
            </w:r>
          </w:p>
        </w:tc>
        <w:tc>
          <w:tcPr>
            <w:tcW w:w="1320" w:type="dxa"/>
            <w:tcBorders>
              <w:top w:val="nil"/>
              <w:left w:val="nil"/>
              <w:bottom w:val="single" w:sz="4" w:space="0" w:color="auto"/>
              <w:right w:val="single" w:sz="4" w:space="0" w:color="auto"/>
            </w:tcBorders>
            <w:shd w:val="clear" w:color="auto" w:fill="auto"/>
            <w:noWrap/>
            <w:vAlign w:val="center"/>
            <w:hideMark/>
          </w:tcPr>
          <w:p w14:paraId="37DAE6AE"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12.780,00</w:t>
            </w:r>
          </w:p>
        </w:tc>
        <w:tc>
          <w:tcPr>
            <w:tcW w:w="1080" w:type="dxa"/>
            <w:tcBorders>
              <w:top w:val="nil"/>
              <w:left w:val="nil"/>
              <w:bottom w:val="single" w:sz="4" w:space="0" w:color="auto"/>
              <w:right w:val="single" w:sz="4" w:space="0" w:color="auto"/>
            </w:tcBorders>
            <w:shd w:val="clear" w:color="auto" w:fill="auto"/>
            <w:noWrap/>
            <w:vAlign w:val="center"/>
            <w:hideMark/>
          </w:tcPr>
          <w:p w14:paraId="63D073A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89,83</w:t>
            </w:r>
          </w:p>
        </w:tc>
      </w:tr>
      <w:tr w:rsidR="00065F90" w:rsidRPr="00553AEA" w14:paraId="74736915"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9D5CFE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6542</w:t>
            </w:r>
          </w:p>
        </w:tc>
        <w:tc>
          <w:tcPr>
            <w:tcW w:w="4320" w:type="dxa"/>
            <w:tcBorders>
              <w:top w:val="nil"/>
              <w:left w:val="nil"/>
              <w:bottom w:val="single" w:sz="4" w:space="0" w:color="auto"/>
              <w:right w:val="single" w:sz="4" w:space="0" w:color="auto"/>
            </w:tcBorders>
            <w:shd w:val="clear" w:color="auto" w:fill="auto"/>
            <w:vAlign w:val="center"/>
            <w:hideMark/>
          </w:tcPr>
          <w:p w14:paraId="6A95C6C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Обавезе по основу ауторског рада – Нето</w:t>
            </w:r>
          </w:p>
        </w:tc>
        <w:tc>
          <w:tcPr>
            <w:tcW w:w="1340" w:type="dxa"/>
            <w:tcBorders>
              <w:top w:val="nil"/>
              <w:left w:val="nil"/>
              <w:bottom w:val="single" w:sz="4" w:space="0" w:color="auto"/>
              <w:right w:val="single" w:sz="4" w:space="0" w:color="auto"/>
            </w:tcBorders>
            <w:shd w:val="clear" w:color="auto" w:fill="auto"/>
            <w:noWrap/>
            <w:vAlign w:val="center"/>
            <w:hideMark/>
          </w:tcPr>
          <w:p w14:paraId="0EF7B5C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6.000,00</w:t>
            </w:r>
          </w:p>
        </w:tc>
        <w:tc>
          <w:tcPr>
            <w:tcW w:w="1320" w:type="dxa"/>
            <w:tcBorders>
              <w:top w:val="nil"/>
              <w:left w:val="nil"/>
              <w:bottom w:val="single" w:sz="4" w:space="0" w:color="auto"/>
              <w:right w:val="single" w:sz="4" w:space="0" w:color="auto"/>
            </w:tcBorders>
            <w:shd w:val="clear" w:color="auto" w:fill="auto"/>
            <w:noWrap/>
            <w:vAlign w:val="center"/>
            <w:hideMark/>
          </w:tcPr>
          <w:p w14:paraId="50058C4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6.000,00</w:t>
            </w:r>
          </w:p>
        </w:tc>
        <w:tc>
          <w:tcPr>
            <w:tcW w:w="1080" w:type="dxa"/>
            <w:tcBorders>
              <w:top w:val="nil"/>
              <w:left w:val="nil"/>
              <w:bottom w:val="single" w:sz="4" w:space="0" w:color="auto"/>
              <w:right w:val="single" w:sz="4" w:space="0" w:color="auto"/>
            </w:tcBorders>
            <w:shd w:val="clear" w:color="auto" w:fill="auto"/>
            <w:noWrap/>
            <w:vAlign w:val="center"/>
            <w:hideMark/>
          </w:tcPr>
          <w:p w14:paraId="7FE44D3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100,00</w:t>
            </w:r>
          </w:p>
        </w:tc>
      </w:tr>
      <w:tr w:rsidR="00065F90" w:rsidRPr="00553AEA" w14:paraId="4A579CFB"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0A9341B2" w14:textId="77777777" w:rsidR="00065F90" w:rsidRPr="00553AEA" w:rsidRDefault="00065F90" w:rsidP="00065F90">
            <w:pPr>
              <w:jc w:val="center"/>
              <w:rPr>
                <w:rFonts w:ascii="Calibri" w:hAnsi="Calibri"/>
                <w:b/>
                <w:bCs/>
                <w:color w:val="auto"/>
                <w:sz w:val="20"/>
                <w:szCs w:val="20"/>
              </w:rPr>
            </w:pPr>
            <w:r w:rsidRPr="00553AEA">
              <w:rPr>
                <w:rFonts w:ascii="Calibri" w:hAnsi="Calibri"/>
                <w:b/>
                <w:bCs/>
                <w:color w:val="auto"/>
                <w:sz w:val="20"/>
                <w:szCs w:val="20"/>
                <w:lang w:val="sr-Latn-RS"/>
              </w:rPr>
              <w:t>655</w:t>
            </w:r>
          </w:p>
        </w:tc>
        <w:tc>
          <w:tcPr>
            <w:tcW w:w="4320" w:type="dxa"/>
            <w:tcBorders>
              <w:top w:val="nil"/>
              <w:left w:val="nil"/>
              <w:bottom w:val="single" w:sz="4" w:space="0" w:color="auto"/>
              <w:right w:val="single" w:sz="4" w:space="0" w:color="auto"/>
            </w:tcBorders>
            <w:shd w:val="clear" w:color="000000" w:fill="C5D9F1"/>
            <w:vAlign w:val="center"/>
            <w:hideMark/>
          </w:tcPr>
          <w:p w14:paraId="4E4BEEE7" w14:textId="77777777" w:rsidR="00065F90" w:rsidRPr="00553AEA" w:rsidRDefault="00065F90" w:rsidP="00065F90">
            <w:pPr>
              <w:jc w:val="left"/>
              <w:rPr>
                <w:rFonts w:ascii="Calibri" w:hAnsi="Calibri"/>
                <w:b/>
                <w:bCs/>
                <w:color w:val="auto"/>
                <w:sz w:val="20"/>
                <w:szCs w:val="20"/>
              </w:rPr>
            </w:pPr>
            <w:r w:rsidRPr="00553AEA">
              <w:rPr>
                <w:rFonts w:ascii="Calibri" w:hAnsi="Calibri"/>
                <w:b/>
                <w:bCs/>
                <w:color w:val="auto"/>
                <w:sz w:val="20"/>
                <w:szCs w:val="20"/>
                <w:lang w:val="sr-Latn-RS"/>
              </w:rPr>
              <w:t>Остали лични расходи</w:t>
            </w:r>
          </w:p>
        </w:tc>
        <w:tc>
          <w:tcPr>
            <w:tcW w:w="1340" w:type="dxa"/>
            <w:tcBorders>
              <w:top w:val="nil"/>
              <w:left w:val="nil"/>
              <w:bottom w:val="single" w:sz="4" w:space="0" w:color="auto"/>
              <w:right w:val="single" w:sz="4" w:space="0" w:color="auto"/>
            </w:tcBorders>
            <w:shd w:val="clear" w:color="000000" w:fill="C5D9F1"/>
            <w:noWrap/>
            <w:vAlign w:val="center"/>
            <w:hideMark/>
          </w:tcPr>
          <w:p w14:paraId="5218F852"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88.670,52</w:t>
            </w:r>
          </w:p>
        </w:tc>
        <w:tc>
          <w:tcPr>
            <w:tcW w:w="1320" w:type="dxa"/>
            <w:tcBorders>
              <w:top w:val="nil"/>
              <w:left w:val="nil"/>
              <w:bottom w:val="single" w:sz="4" w:space="0" w:color="auto"/>
              <w:right w:val="single" w:sz="4" w:space="0" w:color="auto"/>
            </w:tcBorders>
            <w:shd w:val="clear" w:color="000000" w:fill="C5D9F1"/>
            <w:noWrap/>
            <w:vAlign w:val="center"/>
            <w:hideMark/>
          </w:tcPr>
          <w:p w14:paraId="22FB4AEA"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108.882,80</w:t>
            </w:r>
          </w:p>
        </w:tc>
        <w:tc>
          <w:tcPr>
            <w:tcW w:w="1080" w:type="dxa"/>
            <w:tcBorders>
              <w:top w:val="nil"/>
              <w:left w:val="nil"/>
              <w:bottom w:val="single" w:sz="4" w:space="0" w:color="auto"/>
              <w:right w:val="single" w:sz="4" w:space="0" w:color="auto"/>
            </w:tcBorders>
            <w:shd w:val="clear" w:color="000000" w:fill="C5D9F1"/>
            <w:noWrap/>
            <w:vAlign w:val="center"/>
            <w:hideMark/>
          </w:tcPr>
          <w:p w14:paraId="1D75C6C8"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122,79</w:t>
            </w:r>
          </w:p>
        </w:tc>
      </w:tr>
      <w:tr w:rsidR="00065F90" w:rsidRPr="00553AEA" w14:paraId="0C5B3B7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E2E171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6551</w:t>
            </w:r>
          </w:p>
        </w:tc>
        <w:tc>
          <w:tcPr>
            <w:tcW w:w="4320" w:type="dxa"/>
            <w:tcBorders>
              <w:top w:val="nil"/>
              <w:left w:val="nil"/>
              <w:bottom w:val="single" w:sz="4" w:space="0" w:color="auto"/>
              <w:right w:val="single" w:sz="4" w:space="0" w:color="auto"/>
            </w:tcBorders>
            <w:shd w:val="clear" w:color="auto" w:fill="auto"/>
            <w:vAlign w:val="center"/>
            <w:hideMark/>
          </w:tcPr>
          <w:p w14:paraId="6939636A"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превоза</w:t>
            </w:r>
          </w:p>
        </w:tc>
        <w:tc>
          <w:tcPr>
            <w:tcW w:w="1340" w:type="dxa"/>
            <w:tcBorders>
              <w:top w:val="nil"/>
              <w:left w:val="nil"/>
              <w:bottom w:val="single" w:sz="4" w:space="0" w:color="auto"/>
              <w:right w:val="single" w:sz="4" w:space="0" w:color="auto"/>
            </w:tcBorders>
            <w:shd w:val="clear" w:color="auto" w:fill="auto"/>
            <w:noWrap/>
            <w:vAlign w:val="center"/>
            <w:hideMark/>
          </w:tcPr>
          <w:p w14:paraId="59A7B5F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19.693,18</w:t>
            </w:r>
          </w:p>
        </w:tc>
        <w:tc>
          <w:tcPr>
            <w:tcW w:w="1320" w:type="dxa"/>
            <w:tcBorders>
              <w:top w:val="nil"/>
              <w:left w:val="nil"/>
              <w:bottom w:val="single" w:sz="4" w:space="0" w:color="auto"/>
              <w:right w:val="single" w:sz="4" w:space="0" w:color="auto"/>
            </w:tcBorders>
            <w:shd w:val="clear" w:color="auto" w:fill="auto"/>
            <w:noWrap/>
            <w:vAlign w:val="center"/>
            <w:hideMark/>
          </w:tcPr>
          <w:p w14:paraId="11FCCA7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20.192,64</w:t>
            </w:r>
          </w:p>
        </w:tc>
        <w:tc>
          <w:tcPr>
            <w:tcW w:w="1080" w:type="dxa"/>
            <w:tcBorders>
              <w:top w:val="nil"/>
              <w:left w:val="nil"/>
              <w:bottom w:val="single" w:sz="4" w:space="0" w:color="auto"/>
              <w:right w:val="single" w:sz="4" w:space="0" w:color="auto"/>
            </w:tcBorders>
            <w:shd w:val="clear" w:color="auto" w:fill="auto"/>
            <w:noWrap/>
            <w:vAlign w:val="center"/>
            <w:hideMark/>
          </w:tcPr>
          <w:p w14:paraId="29F08CE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102,54</w:t>
            </w:r>
          </w:p>
        </w:tc>
      </w:tr>
      <w:tr w:rsidR="00065F90" w:rsidRPr="00553AEA" w14:paraId="771DB3C5"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303FB4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65510</w:t>
            </w:r>
          </w:p>
        </w:tc>
        <w:tc>
          <w:tcPr>
            <w:tcW w:w="4320" w:type="dxa"/>
            <w:tcBorders>
              <w:top w:val="nil"/>
              <w:left w:val="nil"/>
              <w:bottom w:val="single" w:sz="4" w:space="0" w:color="auto"/>
              <w:right w:val="single" w:sz="4" w:space="0" w:color="auto"/>
            </w:tcBorders>
            <w:shd w:val="clear" w:color="auto" w:fill="auto"/>
            <w:vAlign w:val="center"/>
            <w:hideMark/>
          </w:tcPr>
          <w:p w14:paraId="6ACB801F" w14:textId="77777777" w:rsidR="00065F90" w:rsidRPr="00553AEA" w:rsidRDefault="00065F90" w:rsidP="00065F90">
            <w:pPr>
              <w:jc w:val="left"/>
              <w:rPr>
                <w:rFonts w:ascii="Calibri" w:hAnsi="Calibri"/>
                <w:sz w:val="20"/>
                <w:szCs w:val="20"/>
              </w:rPr>
            </w:pPr>
            <w:r w:rsidRPr="00553AEA">
              <w:rPr>
                <w:rFonts w:ascii="Calibri" w:hAnsi="Calibri"/>
                <w:sz w:val="20"/>
                <w:szCs w:val="20"/>
                <w:lang w:val="sr-Cyrl-BA"/>
              </w:rPr>
              <w:t>Трошкови отпремнине</w:t>
            </w:r>
          </w:p>
        </w:tc>
        <w:tc>
          <w:tcPr>
            <w:tcW w:w="1340" w:type="dxa"/>
            <w:tcBorders>
              <w:top w:val="nil"/>
              <w:left w:val="nil"/>
              <w:bottom w:val="single" w:sz="4" w:space="0" w:color="auto"/>
              <w:right w:val="single" w:sz="4" w:space="0" w:color="auto"/>
            </w:tcBorders>
            <w:shd w:val="clear" w:color="auto" w:fill="auto"/>
            <w:noWrap/>
            <w:vAlign w:val="center"/>
            <w:hideMark/>
          </w:tcPr>
          <w:p w14:paraId="1BFF215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 </w:t>
            </w:r>
          </w:p>
        </w:tc>
        <w:tc>
          <w:tcPr>
            <w:tcW w:w="1320" w:type="dxa"/>
            <w:tcBorders>
              <w:top w:val="nil"/>
              <w:left w:val="nil"/>
              <w:bottom w:val="single" w:sz="4" w:space="0" w:color="auto"/>
              <w:right w:val="single" w:sz="4" w:space="0" w:color="auto"/>
            </w:tcBorders>
            <w:shd w:val="clear" w:color="auto" w:fill="auto"/>
            <w:noWrap/>
            <w:vAlign w:val="center"/>
            <w:hideMark/>
          </w:tcPr>
          <w:p w14:paraId="25AEFF04"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26.422,48</w:t>
            </w:r>
          </w:p>
        </w:tc>
        <w:tc>
          <w:tcPr>
            <w:tcW w:w="1080" w:type="dxa"/>
            <w:tcBorders>
              <w:top w:val="nil"/>
              <w:left w:val="nil"/>
              <w:bottom w:val="single" w:sz="4" w:space="0" w:color="auto"/>
              <w:right w:val="single" w:sz="4" w:space="0" w:color="auto"/>
            </w:tcBorders>
            <w:shd w:val="clear" w:color="auto" w:fill="auto"/>
            <w:noWrap/>
            <w:vAlign w:val="center"/>
            <w:hideMark/>
          </w:tcPr>
          <w:p w14:paraId="457A1252"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581659A2"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986808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6552</w:t>
            </w:r>
          </w:p>
        </w:tc>
        <w:tc>
          <w:tcPr>
            <w:tcW w:w="4320" w:type="dxa"/>
            <w:tcBorders>
              <w:top w:val="nil"/>
              <w:left w:val="nil"/>
              <w:bottom w:val="single" w:sz="4" w:space="0" w:color="auto"/>
              <w:right w:val="single" w:sz="4" w:space="0" w:color="auto"/>
            </w:tcBorders>
            <w:shd w:val="clear" w:color="auto" w:fill="auto"/>
            <w:vAlign w:val="center"/>
            <w:hideMark/>
          </w:tcPr>
          <w:p w14:paraId="47FEA851"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дневница</w:t>
            </w:r>
          </w:p>
        </w:tc>
        <w:tc>
          <w:tcPr>
            <w:tcW w:w="1340" w:type="dxa"/>
            <w:tcBorders>
              <w:top w:val="nil"/>
              <w:left w:val="nil"/>
              <w:bottom w:val="single" w:sz="4" w:space="0" w:color="auto"/>
              <w:right w:val="single" w:sz="4" w:space="0" w:color="auto"/>
            </w:tcBorders>
            <w:shd w:val="clear" w:color="auto" w:fill="auto"/>
            <w:noWrap/>
            <w:vAlign w:val="center"/>
            <w:hideMark/>
          </w:tcPr>
          <w:p w14:paraId="0F8C1860"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5.007,81</w:t>
            </w:r>
          </w:p>
        </w:tc>
        <w:tc>
          <w:tcPr>
            <w:tcW w:w="1320" w:type="dxa"/>
            <w:tcBorders>
              <w:top w:val="nil"/>
              <w:left w:val="nil"/>
              <w:bottom w:val="single" w:sz="4" w:space="0" w:color="auto"/>
              <w:right w:val="single" w:sz="4" w:space="0" w:color="auto"/>
            </w:tcBorders>
            <w:shd w:val="clear" w:color="auto" w:fill="auto"/>
            <w:noWrap/>
            <w:vAlign w:val="center"/>
            <w:hideMark/>
          </w:tcPr>
          <w:p w14:paraId="0C8FD26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4.711,15</w:t>
            </w:r>
          </w:p>
        </w:tc>
        <w:tc>
          <w:tcPr>
            <w:tcW w:w="1080" w:type="dxa"/>
            <w:tcBorders>
              <w:top w:val="nil"/>
              <w:left w:val="nil"/>
              <w:bottom w:val="single" w:sz="4" w:space="0" w:color="auto"/>
              <w:right w:val="single" w:sz="4" w:space="0" w:color="auto"/>
            </w:tcBorders>
            <w:shd w:val="clear" w:color="auto" w:fill="auto"/>
            <w:noWrap/>
            <w:vAlign w:val="center"/>
            <w:hideMark/>
          </w:tcPr>
          <w:p w14:paraId="04875D6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94,08</w:t>
            </w:r>
          </w:p>
        </w:tc>
      </w:tr>
      <w:tr w:rsidR="00065F90" w:rsidRPr="00553AEA" w14:paraId="74C6444F"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C797E4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6553</w:t>
            </w:r>
          </w:p>
        </w:tc>
        <w:tc>
          <w:tcPr>
            <w:tcW w:w="4320" w:type="dxa"/>
            <w:tcBorders>
              <w:top w:val="nil"/>
              <w:left w:val="nil"/>
              <w:bottom w:val="single" w:sz="4" w:space="0" w:color="auto"/>
              <w:right w:val="single" w:sz="4" w:space="0" w:color="auto"/>
            </w:tcBorders>
            <w:shd w:val="clear" w:color="auto" w:fill="auto"/>
            <w:vAlign w:val="center"/>
            <w:hideMark/>
          </w:tcPr>
          <w:p w14:paraId="0BEF6A1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смјештаја и хране на службеном путу</w:t>
            </w:r>
          </w:p>
        </w:tc>
        <w:tc>
          <w:tcPr>
            <w:tcW w:w="1340" w:type="dxa"/>
            <w:tcBorders>
              <w:top w:val="nil"/>
              <w:left w:val="nil"/>
              <w:bottom w:val="single" w:sz="4" w:space="0" w:color="auto"/>
              <w:right w:val="single" w:sz="4" w:space="0" w:color="auto"/>
            </w:tcBorders>
            <w:shd w:val="clear" w:color="auto" w:fill="auto"/>
            <w:noWrap/>
            <w:vAlign w:val="center"/>
            <w:hideMark/>
          </w:tcPr>
          <w:p w14:paraId="7AC6335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13.000,00</w:t>
            </w:r>
          </w:p>
        </w:tc>
        <w:tc>
          <w:tcPr>
            <w:tcW w:w="1320" w:type="dxa"/>
            <w:tcBorders>
              <w:top w:val="nil"/>
              <w:left w:val="nil"/>
              <w:bottom w:val="single" w:sz="4" w:space="0" w:color="auto"/>
              <w:right w:val="single" w:sz="4" w:space="0" w:color="auto"/>
            </w:tcBorders>
            <w:shd w:val="clear" w:color="auto" w:fill="auto"/>
            <w:noWrap/>
            <w:vAlign w:val="center"/>
            <w:hideMark/>
          </w:tcPr>
          <w:p w14:paraId="20ACB74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16.096,81</w:t>
            </w:r>
          </w:p>
        </w:tc>
        <w:tc>
          <w:tcPr>
            <w:tcW w:w="1080" w:type="dxa"/>
            <w:tcBorders>
              <w:top w:val="nil"/>
              <w:left w:val="nil"/>
              <w:bottom w:val="single" w:sz="4" w:space="0" w:color="auto"/>
              <w:right w:val="single" w:sz="4" w:space="0" w:color="auto"/>
            </w:tcBorders>
            <w:shd w:val="clear" w:color="auto" w:fill="auto"/>
            <w:noWrap/>
            <w:vAlign w:val="center"/>
            <w:hideMark/>
          </w:tcPr>
          <w:p w14:paraId="1CFEC48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123,82</w:t>
            </w:r>
          </w:p>
        </w:tc>
      </w:tr>
      <w:tr w:rsidR="00065F90" w:rsidRPr="00553AEA" w14:paraId="48138E5B"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5377FA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6554</w:t>
            </w:r>
          </w:p>
        </w:tc>
        <w:tc>
          <w:tcPr>
            <w:tcW w:w="4320" w:type="dxa"/>
            <w:tcBorders>
              <w:top w:val="nil"/>
              <w:left w:val="nil"/>
              <w:bottom w:val="single" w:sz="4" w:space="0" w:color="auto"/>
              <w:right w:val="single" w:sz="4" w:space="0" w:color="auto"/>
            </w:tcBorders>
            <w:shd w:val="clear" w:color="auto" w:fill="auto"/>
            <w:vAlign w:val="center"/>
            <w:hideMark/>
          </w:tcPr>
          <w:p w14:paraId="6D296510"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превоза на службеном путу</w:t>
            </w:r>
          </w:p>
        </w:tc>
        <w:tc>
          <w:tcPr>
            <w:tcW w:w="1340" w:type="dxa"/>
            <w:tcBorders>
              <w:top w:val="nil"/>
              <w:left w:val="nil"/>
              <w:bottom w:val="single" w:sz="4" w:space="0" w:color="auto"/>
              <w:right w:val="single" w:sz="4" w:space="0" w:color="auto"/>
            </w:tcBorders>
            <w:shd w:val="clear" w:color="auto" w:fill="auto"/>
            <w:noWrap/>
            <w:vAlign w:val="center"/>
            <w:hideMark/>
          </w:tcPr>
          <w:p w14:paraId="6816FB97"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1.800,00</w:t>
            </w:r>
          </w:p>
        </w:tc>
        <w:tc>
          <w:tcPr>
            <w:tcW w:w="1320" w:type="dxa"/>
            <w:tcBorders>
              <w:top w:val="nil"/>
              <w:left w:val="nil"/>
              <w:bottom w:val="single" w:sz="4" w:space="0" w:color="auto"/>
              <w:right w:val="single" w:sz="4" w:space="0" w:color="auto"/>
            </w:tcBorders>
            <w:shd w:val="clear" w:color="auto" w:fill="auto"/>
            <w:noWrap/>
            <w:vAlign w:val="center"/>
            <w:hideMark/>
          </w:tcPr>
          <w:p w14:paraId="54BEB588"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4.693,38</w:t>
            </w:r>
          </w:p>
        </w:tc>
        <w:tc>
          <w:tcPr>
            <w:tcW w:w="1080" w:type="dxa"/>
            <w:tcBorders>
              <w:top w:val="nil"/>
              <w:left w:val="nil"/>
              <w:bottom w:val="single" w:sz="4" w:space="0" w:color="auto"/>
              <w:right w:val="single" w:sz="4" w:space="0" w:color="auto"/>
            </w:tcBorders>
            <w:shd w:val="clear" w:color="auto" w:fill="auto"/>
            <w:noWrap/>
            <w:vAlign w:val="center"/>
            <w:hideMark/>
          </w:tcPr>
          <w:p w14:paraId="33470EE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260,74</w:t>
            </w:r>
          </w:p>
        </w:tc>
      </w:tr>
      <w:tr w:rsidR="00065F90" w:rsidRPr="00553AEA" w14:paraId="2F59816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1491C1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6556</w:t>
            </w:r>
          </w:p>
        </w:tc>
        <w:tc>
          <w:tcPr>
            <w:tcW w:w="4320" w:type="dxa"/>
            <w:tcBorders>
              <w:top w:val="nil"/>
              <w:left w:val="nil"/>
              <w:bottom w:val="single" w:sz="4" w:space="0" w:color="auto"/>
              <w:right w:val="single" w:sz="4" w:space="0" w:color="auto"/>
            </w:tcBorders>
            <w:shd w:val="clear" w:color="auto" w:fill="auto"/>
            <w:vAlign w:val="center"/>
            <w:hideMark/>
          </w:tcPr>
          <w:p w14:paraId="5CC86351"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путарине на службеном путу</w:t>
            </w:r>
          </w:p>
        </w:tc>
        <w:tc>
          <w:tcPr>
            <w:tcW w:w="1340" w:type="dxa"/>
            <w:tcBorders>
              <w:top w:val="nil"/>
              <w:left w:val="nil"/>
              <w:bottom w:val="single" w:sz="4" w:space="0" w:color="auto"/>
              <w:right w:val="single" w:sz="4" w:space="0" w:color="auto"/>
            </w:tcBorders>
            <w:shd w:val="clear" w:color="auto" w:fill="auto"/>
            <w:noWrap/>
            <w:vAlign w:val="center"/>
            <w:hideMark/>
          </w:tcPr>
          <w:p w14:paraId="0E97120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1.200,00</w:t>
            </w:r>
          </w:p>
        </w:tc>
        <w:tc>
          <w:tcPr>
            <w:tcW w:w="1320" w:type="dxa"/>
            <w:tcBorders>
              <w:top w:val="nil"/>
              <w:left w:val="nil"/>
              <w:bottom w:val="single" w:sz="4" w:space="0" w:color="auto"/>
              <w:right w:val="single" w:sz="4" w:space="0" w:color="auto"/>
            </w:tcBorders>
            <w:shd w:val="clear" w:color="auto" w:fill="auto"/>
            <w:noWrap/>
            <w:vAlign w:val="center"/>
            <w:hideMark/>
          </w:tcPr>
          <w:p w14:paraId="549AD308"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833,54</w:t>
            </w:r>
          </w:p>
        </w:tc>
        <w:tc>
          <w:tcPr>
            <w:tcW w:w="1080" w:type="dxa"/>
            <w:tcBorders>
              <w:top w:val="nil"/>
              <w:left w:val="nil"/>
              <w:bottom w:val="single" w:sz="4" w:space="0" w:color="auto"/>
              <w:right w:val="single" w:sz="4" w:space="0" w:color="auto"/>
            </w:tcBorders>
            <w:shd w:val="clear" w:color="auto" w:fill="auto"/>
            <w:noWrap/>
            <w:vAlign w:val="center"/>
            <w:hideMark/>
          </w:tcPr>
          <w:p w14:paraId="529EC0DB"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69,46</w:t>
            </w:r>
          </w:p>
        </w:tc>
      </w:tr>
      <w:tr w:rsidR="00065F90" w:rsidRPr="00553AEA" w14:paraId="60A4129D"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7C713B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6557</w:t>
            </w:r>
          </w:p>
        </w:tc>
        <w:tc>
          <w:tcPr>
            <w:tcW w:w="4320" w:type="dxa"/>
            <w:tcBorders>
              <w:top w:val="nil"/>
              <w:left w:val="nil"/>
              <w:bottom w:val="single" w:sz="4" w:space="0" w:color="auto"/>
              <w:right w:val="single" w:sz="4" w:space="0" w:color="auto"/>
            </w:tcBorders>
            <w:shd w:val="clear" w:color="auto" w:fill="auto"/>
            <w:vAlign w:val="center"/>
            <w:hideMark/>
          </w:tcPr>
          <w:p w14:paraId="4B4BC9D0"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горива службеног аутомобила</w:t>
            </w:r>
          </w:p>
        </w:tc>
        <w:tc>
          <w:tcPr>
            <w:tcW w:w="1340" w:type="dxa"/>
            <w:tcBorders>
              <w:top w:val="nil"/>
              <w:left w:val="nil"/>
              <w:bottom w:val="single" w:sz="4" w:space="0" w:color="auto"/>
              <w:right w:val="single" w:sz="4" w:space="0" w:color="auto"/>
            </w:tcBorders>
            <w:shd w:val="clear" w:color="auto" w:fill="auto"/>
            <w:noWrap/>
            <w:vAlign w:val="center"/>
            <w:hideMark/>
          </w:tcPr>
          <w:p w14:paraId="358A2035"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21.369,54</w:t>
            </w:r>
          </w:p>
        </w:tc>
        <w:tc>
          <w:tcPr>
            <w:tcW w:w="1320" w:type="dxa"/>
            <w:tcBorders>
              <w:top w:val="nil"/>
              <w:left w:val="nil"/>
              <w:bottom w:val="single" w:sz="4" w:space="0" w:color="auto"/>
              <w:right w:val="single" w:sz="4" w:space="0" w:color="auto"/>
            </w:tcBorders>
            <w:shd w:val="clear" w:color="auto" w:fill="auto"/>
            <w:noWrap/>
            <w:vAlign w:val="center"/>
            <w:hideMark/>
          </w:tcPr>
          <w:p w14:paraId="0F025D7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9.088,97</w:t>
            </w:r>
          </w:p>
        </w:tc>
        <w:tc>
          <w:tcPr>
            <w:tcW w:w="1080" w:type="dxa"/>
            <w:tcBorders>
              <w:top w:val="nil"/>
              <w:left w:val="nil"/>
              <w:bottom w:val="single" w:sz="4" w:space="0" w:color="auto"/>
              <w:right w:val="single" w:sz="4" w:space="0" w:color="auto"/>
            </w:tcBorders>
            <w:shd w:val="clear" w:color="auto" w:fill="auto"/>
            <w:noWrap/>
            <w:vAlign w:val="center"/>
            <w:hideMark/>
          </w:tcPr>
          <w:p w14:paraId="68C820E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42,53</w:t>
            </w:r>
          </w:p>
        </w:tc>
      </w:tr>
      <w:tr w:rsidR="00065F90" w:rsidRPr="00553AEA" w14:paraId="3A3BDF2F"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16B0E2B" w14:textId="77777777" w:rsidR="00065F90" w:rsidRPr="00553AEA" w:rsidRDefault="00065F90" w:rsidP="00065F90">
            <w:pPr>
              <w:jc w:val="center"/>
              <w:rPr>
                <w:rFonts w:ascii="Calibri" w:hAnsi="Calibri"/>
                <w:color w:val="auto"/>
                <w:sz w:val="20"/>
                <w:szCs w:val="20"/>
              </w:rPr>
            </w:pPr>
            <w:r w:rsidRPr="00553AEA">
              <w:rPr>
                <w:rFonts w:ascii="Calibri" w:hAnsi="Calibri"/>
                <w:color w:val="auto"/>
                <w:sz w:val="20"/>
                <w:szCs w:val="20"/>
                <w:lang w:val="sr-Latn-RS"/>
              </w:rPr>
              <w:t>6558</w:t>
            </w:r>
          </w:p>
        </w:tc>
        <w:tc>
          <w:tcPr>
            <w:tcW w:w="4320" w:type="dxa"/>
            <w:tcBorders>
              <w:top w:val="nil"/>
              <w:left w:val="nil"/>
              <w:bottom w:val="single" w:sz="4" w:space="0" w:color="auto"/>
              <w:right w:val="single" w:sz="4" w:space="0" w:color="auto"/>
            </w:tcBorders>
            <w:shd w:val="clear" w:color="auto" w:fill="auto"/>
            <w:vAlign w:val="center"/>
            <w:hideMark/>
          </w:tcPr>
          <w:p w14:paraId="530B4822"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Latn-RS"/>
              </w:rPr>
              <w:t>Исплате радницима по основу Општег колективног уговора</w:t>
            </w:r>
          </w:p>
        </w:tc>
        <w:tc>
          <w:tcPr>
            <w:tcW w:w="1340" w:type="dxa"/>
            <w:tcBorders>
              <w:top w:val="nil"/>
              <w:left w:val="nil"/>
              <w:bottom w:val="single" w:sz="4" w:space="0" w:color="auto"/>
              <w:right w:val="single" w:sz="4" w:space="0" w:color="auto"/>
            </w:tcBorders>
            <w:shd w:val="clear" w:color="auto" w:fill="auto"/>
            <w:noWrap/>
            <w:vAlign w:val="center"/>
            <w:hideMark/>
          </w:tcPr>
          <w:p w14:paraId="72DB294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25.000,00</w:t>
            </w:r>
          </w:p>
        </w:tc>
        <w:tc>
          <w:tcPr>
            <w:tcW w:w="1320" w:type="dxa"/>
            <w:tcBorders>
              <w:top w:val="nil"/>
              <w:left w:val="nil"/>
              <w:bottom w:val="single" w:sz="4" w:space="0" w:color="auto"/>
              <w:right w:val="single" w:sz="4" w:space="0" w:color="auto"/>
            </w:tcBorders>
            <w:shd w:val="clear" w:color="auto" w:fill="auto"/>
            <w:noWrap/>
            <w:vAlign w:val="center"/>
            <w:hideMark/>
          </w:tcPr>
          <w:p w14:paraId="5CCA617A"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25.712,22</w:t>
            </w:r>
          </w:p>
        </w:tc>
        <w:tc>
          <w:tcPr>
            <w:tcW w:w="1080" w:type="dxa"/>
            <w:tcBorders>
              <w:top w:val="nil"/>
              <w:left w:val="nil"/>
              <w:bottom w:val="single" w:sz="4" w:space="0" w:color="auto"/>
              <w:right w:val="single" w:sz="4" w:space="0" w:color="auto"/>
            </w:tcBorders>
            <w:shd w:val="clear" w:color="auto" w:fill="auto"/>
            <w:noWrap/>
            <w:vAlign w:val="center"/>
            <w:hideMark/>
          </w:tcPr>
          <w:p w14:paraId="5B0A6E7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102,85</w:t>
            </w:r>
          </w:p>
        </w:tc>
      </w:tr>
      <w:tr w:rsidR="00112CAE" w:rsidRPr="00553AEA" w14:paraId="05044023" w14:textId="77777777" w:rsidTr="009634B9">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11F94753" w14:textId="77777777" w:rsidR="00112CAE" w:rsidRPr="00553AEA" w:rsidRDefault="00112CAE" w:rsidP="00A642CC">
            <w:pPr>
              <w:jc w:val="center"/>
              <w:rPr>
                <w:rFonts w:ascii="Calibri" w:hAnsi="Calibri"/>
                <w:b/>
                <w:bCs/>
                <w:sz w:val="20"/>
                <w:szCs w:val="20"/>
              </w:rPr>
            </w:pPr>
            <w:r w:rsidRPr="00553AEA">
              <w:rPr>
                <w:rFonts w:ascii="Calibri" w:hAnsi="Calibri"/>
                <w:b/>
                <w:bCs/>
                <w:sz w:val="20"/>
                <w:szCs w:val="20"/>
                <w:lang w:val="sr-Latn-RS"/>
              </w:rPr>
              <w:t>Конто</w:t>
            </w:r>
          </w:p>
        </w:tc>
        <w:tc>
          <w:tcPr>
            <w:tcW w:w="4320" w:type="dxa"/>
            <w:tcBorders>
              <w:top w:val="single" w:sz="8" w:space="0" w:color="auto"/>
              <w:left w:val="nil"/>
              <w:bottom w:val="nil"/>
              <w:right w:val="single" w:sz="8" w:space="0" w:color="auto"/>
            </w:tcBorders>
            <w:shd w:val="clear" w:color="000000" w:fill="8DB4E2"/>
            <w:vAlign w:val="center"/>
            <w:hideMark/>
          </w:tcPr>
          <w:p w14:paraId="2331E6EA" w14:textId="77777777" w:rsidR="00112CAE" w:rsidRPr="00553AEA" w:rsidRDefault="00112CAE" w:rsidP="00A642CC">
            <w:pPr>
              <w:jc w:val="center"/>
              <w:rPr>
                <w:rFonts w:ascii="Calibri" w:hAnsi="Calibri"/>
                <w:b/>
                <w:bCs/>
                <w:sz w:val="20"/>
                <w:szCs w:val="20"/>
              </w:rPr>
            </w:pPr>
            <w:r w:rsidRPr="00553AEA">
              <w:rPr>
                <w:rFonts w:ascii="Calibri" w:hAnsi="Calibri"/>
                <w:b/>
                <w:bCs/>
                <w:sz w:val="20"/>
                <w:szCs w:val="20"/>
                <w:lang w:val="sr-Latn-RS"/>
              </w:rPr>
              <w:t>Назив</w:t>
            </w:r>
          </w:p>
        </w:tc>
        <w:tc>
          <w:tcPr>
            <w:tcW w:w="1340" w:type="dxa"/>
            <w:tcBorders>
              <w:top w:val="single" w:sz="8" w:space="0" w:color="auto"/>
              <w:left w:val="nil"/>
              <w:bottom w:val="nil"/>
              <w:right w:val="single" w:sz="8" w:space="0" w:color="auto"/>
            </w:tcBorders>
            <w:shd w:val="clear" w:color="000000" w:fill="8DB4E2"/>
            <w:vAlign w:val="center"/>
            <w:hideMark/>
          </w:tcPr>
          <w:p w14:paraId="4C74557B" w14:textId="77777777" w:rsidR="00112CAE" w:rsidRPr="00553AEA" w:rsidRDefault="00112CAE" w:rsidP="00A642CC">
            <w:pPr>
              <w:jc w:val="center"/>
              <w:rPr>
                <w:rFonts w:ascii="Calibri" w:hAnsi="Calibri"/>
                <w:b/>
                <w:bCs/>
                <w:sz w:val="20"/>
                <w:szCs w:val="20"/>
              </w:rPr>
            </w:pPr>
            <w:r w:rsidRPr="00553AEA">
              <w:rPr>
                <w:rFonts w:ascii="Calibri" w:hAnsi="Calibri"/>
                <w:b/>
                <w:bCs/>
                <w:sz w:val="20"/>
                <w:szCs w:val="20"/>
                <w:lang w:val="sr-Latn-RS"/>
              </w:rPr>
              <w:t>Планирано у 2023. години</w:t>
            </w:r>
          </w:p>
        </w:tc>
        <w:tc>
          <w:tcPr>
            <w:tcW w:w="1320" w:type="dxa"/>
            <w:tcBorders>
              <w:top w:val="single" w:sz="8" w:space="0" w:color="auto"/>
              <w:left w:val="nil"/>
              <w:bottom w:val="nil"/>
              <w:right w:val="single" w:sz="8" w:space="0" w:color="auto"/>
            </w:tcBorders>
            <w:shd w:val="clear" w:color="000000" w:fill="8DB4E2"/>
            <w:vAlign w:val="center"/>
            <w:hideMark/>
          </w:tcPr>
          <w:p w14:paraId="26002B8C" w14:textId="77777777" w:rsidR="00112CAE" w:rsidRPr="00553AEA" w:rsidRDefault="00112CAE" w:rsidP="00A642CC">
            <w:pPr>
              <w:jc w:val="center"/>
              <w:rPr>
                <w:rFonts w:ascii="Calibri" w:hAnsi="Calibri"/>
                <w:b/>
                <w:bCs/>
                <w:sz w:val="20"/>
                <w:szCs w:val="20"/>
              </w:rPr>
            </w:pPr>
            <w:r w:rsidRPr="00553AEA">
              <w:rPr>
                <w:rFonts w:ascii="Calibri" w:hAnsi="Calibri"/>
                <w:b/>
                <w:bCs/>
                <w:sz w:val="20"/>
                <w:szCs w:val="20"/>
                <w:lang w:val="sr-Latn-RS"/>
              </w:rPr>
              <w:t>Остварено у 2023. години</w:t>
            </w:r>
          </w:p>
        </w:tc>
        <w:tc>
          <w:tcPr>
            <w:tcW w:w="1080" w:type="dxa"/>
            <w:tcBorders>
              <w:top w:val="single" w:sz="8" w:space="0" w:color="auto"/>
              <w:left w:val="nil"/>
              <w:bottom w:val="nil"/>
              <w:right w:val="single" w:sz="8" w:space="0" w:color="auto"/>
            </w:tcBorders>
            <w:shd w:val="clear" w:color="000000" w:fill="8DB4E2"/>
            <w:noWrap/>
            <w:vAlign w:val="center"/>
            <w:hideMark/>
          </w:tcPr>
          <w:p w14:paraId="6F9367DB" w14:textId="77777777" w:rsidR="00112CAE" w:rsidRPr="00553AEA" w:rsidRDefault="00112CAE" w:rsidP="00A642CC">
            <w:pPr>
              <w:jc w:val="center"/>
              <w:rPr>
                <w:rFonts w:ascii="Calibri" w:hAnsi="Calibri"/>
                <w:b/>
                <w:sz w:val="20"/>
                <w:szCs w:val="20"/>
              </w:rPr>
            </w:pPr>
            <w:r w:rsidRPr="00553AEA">
              <w:rPr>
                <w:rFonts w:ascii="Calibri" w:hAnsi="Calibri"/>
                <w:b/>
                <w:sz w:val="20"/>
                <w:szCs w:val="20"/>
                <w:lang w:val="sr-Latn-RS"/>
              </w:rPr>
              <w:t>Индекс</w:t>
            </w:r>
          </w:p>
        </w:tc>
      </w:tr>
      <w:tr w:rsidR="00065F90" w:rsidRPr="00553AEA" w14:paraId="7B256F14"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5EDEAC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6559</w:t>
            </w:r>
          </w:p>
        </w:tc>
        <w:tc>
          <w:tcPr>
            <w:tcW w:w="4320" w:type="dxa"/>
            <w:tcBorders>
              <w:top w:val="nil"/>
              <w:left w:val="nil"/>
              <w:bottom w:val="single" w:sz="4" w:space="0" w:color="auto"/>
              <w:right w:val="single" w:sz="4" w:space="0" w:color="auto"/>
            </w:tcBorders>
            <w:shd w:val="clear" w:color="auto" w:fill="auto"/>
            <w:vAlign w:val="center"/>
            <w:hideMark/>
          </w:tcPr>
          <w:p w14:paraId="335408C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паркинга</w:t>
            </w:r>
          </w:p>
        </w:tc>
        <w:tc>
          <w:tcPr>
            <w:tcW w:w="1340" w:type="dxa"/>
            <w:tcBorders>
              <w:top w:val="nil"/>
              <w:left w:val="nil"/>
              <w:bottom w:val="single" w:sz="4" w:space="0" w:color="auto"/>
              <w:right w:val="single" w:sz="4" w:space="0" w:color="auto"/>
            </w:tcBorders>
            <w:shd w:val="clear" w:color="auto" w:fill="auto"/>
            <w:noWrap/>
            <w:vAlign w:val="center"/>
            <w:hideMark/>
          </w:tcPr>
          <w:p w14:paraId="39E11D72"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1.600,00</w:t>
            </w:r>
          </w:p>
        </w:tc>
        <w:tc>
          <w:tcPr>
            <w:tcW w:w="1320" w:type="dxa"/>
            <w:tcBorders>
              <w:top w:val="nil"/>
              <w:left w:val="nil"/>
              <w:bottom w:val="single" w:sz="4" w:space="0" w:color="auto"/>
              <w:right w:val="single" w:sz="4" w:space="0" w:color="auto"/>
            </w:tcBorders>
            <w:shd w:val="clear" w:color="auto" w:fill="auto"/>
            <w:noWrap/>
            <w:vAlign w:val="center"/>
            <w:hideMark/>
          </w:tcPr>
          <w:p w14:paraId="0C337AE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1.131,61</w:t>
            </w:r>
          </w:p>
        </w:tc>
        <w:tc>
          <w:tcPr>
            <w:tcW w:w="1080" w:type="dxa"/>
            <w:tcBorders>
              <w:top w:val="nil"/>
              <w:left w:val="nil"/>
              <w:bottom w:val="single" w:sz="4" w:space="0" w:color="auto"/>
              <w:right w:val="single" w:sz="4" w:space="0" w:color="auto"/>
            </w:tcBorders>
            <w:shd w:val="clear" w:color="auto" w:fill="auto"/>
            <w:noWrap/>
            <w:vAlign w:val="center"/>
            <w:hideMark/>
          </w:tcPr>
          <w:p w14:paraId="2DFDC2C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70,73</w:t>
            </w:r>
          </w:p>
        </w:tc>
      </w:tr>
      <w:tr w:rsidR="00065F90" w:rsidRPr="00553AEA" w14:paraId="49C9595E"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3D3D7C5E"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660</w:t>
            </w:r>
          </w:p>
        </w:tc>
        <w:tc>
          <w:tcPr>
            <w:tcW w:w="4320" w:type="dxa"/>
            <w:tcBorders>
              <w:top w:val="nil"/>
              <w:left w:val="nil"/>
              <w:bottom w:val="single" w:sz="4" w:space="0" w:color="auto"/>
              <w:right w:val="single" w:sz="4" w:space="0" w:color="auto"/>
            </w:tcBorders>
            <w:shd w:val="clear" w:color="000000" w:fill="C5D9F1"/>
            <w:vAlign w:val="center"/>
            <w:hideMark/>
          </w:tcPr>
          <w:p w14:paraId="7AD8EA9A"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материјала</w:t>
            </w:r>
          </w:p>
        </w:tc>
        <w:tc>
          <w:tcPr>
            <w:tcW w:w="1340" w:type="dxa"/>
            <w:tcBorders>
              <w:top w:val="nil"/>
              <w:left w:val="nil"/>
              <w:bottom w:val="single" w:sz="4" w:space="0" w:color="auto"/>
              <w:right w:val="single" w:sz="4" w:space="0" w:color="auto"/>
            </w:tcBorders>
            <w:shd w:val="clear" w:color="000000" w:fill="C5D9F1"/>
            <w:noWrap/>
            <w:vAlign w:val="center"/>
            <w:hideMark/>
          </w:tcPr>
          <w:p w14:paraId="6EAD0895"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8.497,18</w:t>
            </w:r>
          </w:p>
        </w:tc>
        <w:tc>
          <w:tcPr>
            <w:tcW w:w="1320" w:type="dxa"/>
            <w:tcBorders>
              <w:top w:val="nil"/>
              <w:left w:val="nil"/>
              <w:bottom w:val="single" w:sz="4" w:space="0" w:color="auto"/>
              <w:right w:val="single" w:sz="4" w:space="0" w:color="auto"/>
            </w:tcBorders>
            <w:shd w:val="clear" w:color="000000" w:fill="C5D9F1"/>
            <w:noWrap/>
            <w:vAlign w:val="center"/>
            <w:hideMark/>
          </w:tcPr>
          <w:p w14:paraId="7F2F3908"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5.980,09</w:t>
            </w:r>
          </w:p>
        </w:tc>
        <w:tc>
          <w:tcPr>
            <w:tcW w:w="1080" w:type="dxa"/>
            <w:tcBorders>
              <w:top w:val="nil"/>
              <w:left w:val="nil"/>
              <w:bottom w:val="single" w:sz="4" w:space="0" w:color="auto"/>
              <w:right w:val="single" w:sz="4" w:space="0" w:color="auto"/>
            </w:tcBorders>
            <w:shd w:val="clear" w:color="000000" w:fill="C5D9F1"/>
            <w:noWrap/>
            <w:vAlign w:val="center"/>
            <w:hideMark/>
          </w:tcPr>
          <w:p w14:paraId="51ABE051"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70,38</w:t>
            </w:r>
          </w:p>
        </w:tc>
      </w:tr>
      <w:tr w:rsidR="00065F90" w:rsidRPr="00553AEA" w14:paraId="20643BBA"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C76521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6601</w:t>
            </w:r>
          </w:p>
        </w:tc>
        <w:tc>
          <w:tcPr>
            <w:tcW w:w="4320" w:type="dxa"/>
            <w:tcBorders>
              <w:top w:val="nil"/>
              <w:left w:val="nil"/>
              <w:bottom w:val="single" w:sz="4" w:space="0" w:color="auto"/>
              <w:right w:val="single" w:sz="4" w:space="0" w:color="auto"/>
            </w:tcBorders>
            <w:shd w:val="clear" w:color="auto" w:fill="auto"/>
            <w:vAlign w:val="center"/>
            <w:hideMark/>
          </w:tcPr>
          <w:p w14:paraId="723878F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канцеларијског материјала</w:t>
            </w:r>
          </w:p>
        </w:tc>
        <w:tc>
          <w:tcPr>
            <w:tcW w:w="1340" w:type="dxa"/>
            <w:tcBorders>
              <w:top w:val="nil"/>
              <w:left w:val="nil"/>
              <w:bottom w:val="single" w:sz="4" w:space="0" w:color="auto"/>
              <w:right w:val="single" w:sz="4" w:space="0" w:color="auto"/>
            </w:tcBorders>
            <w:shd w:val="clear" w:color="auto" w:fill="auto"/>
            <w:noWrap/>
            <w:vAlign w:val="center"/>
            <w:hideMark/>
          </w:tcPr>
          <w:p w14:paraId="7B84E362"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7.997,18</w:t>
            </w:r>
          </w:p>
        </w:tc>
        <w:tc>
          <w:tcPr>
            <w:tcW w:w="1320" w:type="dxa"/>
            <w:tcBorders>
              <w:top w:val="nil"/>
              <w:left w:val="nil"/>
              <w:bottom w:val="single" w:sz="4" w:space="0" w:color="auto"/>
              <w:right w:val="single" w:sz="4" w:space="0" w:color="auto"/>
            </w:tcBorders>
            <w:shd w:val="clear" w:color="auto" w:fill="auto"/>
            <w:noWrap/>
            <w:vAlign w:val="center"/>
            <w:hideMark/>
          </w:tcPr>
          <w:p w14:paraId="3414100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4.851,79</w:t>
            </w:r>
          </w:p>
        </w:tc>
        <w:tc>
          <w:tcPr>
            <w:tcW w:w="1080" w:type="dxa"/>
            <w:tcBorders>
              <w:top w:val="nil"/>
              <w:left w:val="nil"/>
              <w:bottom w:val="single" w:sz="4" w:space="0" w:color="auto"/>
              <w:right w:val="single" w:sz="4" w:space="0" w:color="auto"/>
            </w:tcBorders>
            <w:shd w:val="clear" w:color="auto" w:fill="auto"/>
            <w:noWrap/>
            <w:vAlign w:val="center"/>
            <w:hideMark/>
          </w:tcPr>
          <w:p w14:paraId="00B7A5E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60,67</w:t>
            </w:r>
          </w:p>
        </w:tc>
      </w:tr>
      <w:tr w:rsidR="00065F90" w:rsidRPr="00553AEA" w14:paraId="1029953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05419E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6603</w:t>
            </w:r>
          </w:p>
        </w:tc>
        <w:tc>
          <w:tcPr>
            <w:tcW w:w="4320" w:type="dxa"/>
            <w:tcBorders>
              <w:top w:val="nil"/>
              <w:left w:val="nil"/>
              <w:bottom w:val="single" w:sz="4" w:space="0" w:color="auto"/>
              <w:right w:val="single" w:sz="4" w:space="0" w:color="auto"/>
            </w:tcBorders>
            <w:shd w:val="clear" w:color="auto" w:fill="auto"/>
            <w:vAlign w:val="center"/>
            <w:hideMark/>
          </w:tcPr>
          <w:p w14:paraId="75717A6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осталог материјала</w:t>
            </w:r>
          </w:p>
        </w:tc>
        <w:tc>
          <w:tcPr>
            <w:tcW w:w="1340" w:type="dxa"/>
            <w:tcBorders>
              <w:top w:val="nil"/>
              <w:left w:val="nil"/>
              <w:bottom w:val="single" w:sz="4" w:space="0" w:color="auto"/>
              <w:right w:val="single" w:sz="4" w:space="0" w:color="auto"/>
            </w:tcBorders>
            <w:shd w:val="clear" w:color="auto" w:fill="auto"/>
            <w:noWrap/>
            <w:vAlign w:val="center"/>
            <w:hideMark/>
          </w:tcPr>
          <w:p w14:paraId="1D71C9A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500,00</w:t>
            </w:r>
          </w:p>
        </w:tc>
        <w:tc>
          <w:tcPr>
            <w:tcW w:w="1320" w:type="dxa"/>
            <w:tcBorders>
              <w:top w:val="nil"/>
              <w:left w:val="nil"/>
              <w:bottom w:val="single" w:sz="4" w:space="0" w:color="auto"/>
              <w:right w:val="single" w:sz="4" w:space="0" w:color="auto"/>
            </w:tcBorders>
            <w:shd w:val="clear" w:color="auto" w:fill="auto"/>
            <w:noWrap/>
            <w:vAlign w:val="center"/>
            <w:hideMark/>
          </w:tcPr>
          <w:p w14:paraId="315154BF"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1.128,30</w:t>
            </w:r>
          </w:p>
        </w:tc>
        <w:tc>
          <w:tcPr>
            <w:tcW w:w="1080" w:type="dxa"/>
            <w:tcBorders>
              <w:top w:val="nil"/>
              <w:left w:val="nil"/>
              <w:bottom w:val="single" w:sz="4" w:space="0" w:color="auto"/>
              <w:right w:val="single" w:sz="4" w:space="0" w:color="auto"/>
            </w:tcBorders>
            <w:shd w:val="clear" w:color="auto" w:fill="auto"/>
            <w:noWrap/>
            <w:vAlign w:val="center"/>
            <w:hideMark/>
          </w:tcPr>
          <w:p w14:paraId="182CF7C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225,66</w:t>
            </w:r>
          </w:p>
        </w:tc>
      </w:tr>
      <w:tr w:rsidR="00065F90" w:rsidRPr="00553AEA" w14:paraId="13DA5DB6"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264CFF65"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661</w:t>
            </w:r>
          </w:p>
        </w:tc>
        <w:tc>
          <w:tcPr>
            <w:tcW w:w="4320" w:type="dxa"/>
            <w:tcBorders>
              <w:top w:val="nil"/>
              <w:left w:val="nil"/>
              <w:bottom w:val="single" w:sz="4" w:space="0" w:color="auto"/>
              <w:right w:val="single" w:sz="4" w:space="0" w:color="auto"/>
            </w:tcBorders>
            <w:shd w:val="clear" w:color="000000" w:fill="C5D9F1"/>
            <w:vAlign w:val="center"/>
            <w:hideMark/>
          </w:tcPr>
          <w:p w14:paraId="72EE9EEE"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производних услуга</w:t>
            </w:r>
          </w:p>
        </w:tc>
        <w:tc>
          <w:tcPr>
            <w:tcW w:w="1340" w:type="dxa"/>
            <w:tcBorders>
              <w:top w:val="nil"/>
              <w:left w:val="nil"/>
              <w:bottom w:val="single" w:sz="4" w:space="0" w:color="auto"/>
              <w:right w:val="single" w:sz="4" w:space="0" w:color="auto"/>
            </w:tcBorders>
            <w:shd w:val="clear" w:color="000000" w:fill="C5D9F1"/>
            <w:noWrap/>
            <w:vAlign w:val="center"/>
            <w:hideMark/>
          </w:tcPr>
          <w:p w14:paraId="4753F71D"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60.600,00</w:t>
            </w:r>
          </w:p>
        </w:tc>
        <w:tc>
          <w:tcPr>
            <w:tcW w:w="1320" w:type="dxa"/>
            <w:tcBorders>
              <w:top w:val="nil"/>
              <w:left w:val="nil"/>
              <w:bottom w:val="single" w:sz="4" w:space="0" w:color="auto"/>
              <w:right w:val="single" w:sz="4" w:space="0" w:color="auto"/>
            </w:tcBorders>
            <w:shd w:val="clear" w:color="000000" w:fill="C5D9F1"/>
            <w:noWrap/>
            <w:vAlign w:val="center"/>
            <w:hideMark/>
          </w:tcPr>
          <w:p w14:paraId="7B3BE7AD"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57.451,93</w:t>
            </w:r>
          </w:p>
        </w:tc>
        <w:tc>
          <w:tcPr>
            <w:tcW w:w="1080" w:type="dxa"/>
            <w:tcBorders>
              <w:top w:val="nil"/>
              <w:left w:val="nil"/>
              <w:bottom w:val="single" w:sz="4" w:space="0" w:color="auto"/>
              <w:right w:val="single" w:sz="4" w:space="0" w:color="auto"/>
            </w:tcBorders>
            <w:shd w:val="clear" w:color="000000" w:fill="C5D9F1"/>
            <w:noWrap/>
            <w:vAlign w:val="center"/>
            <w:hideMark/>
          </w:tcPr>
          <w:p w14:paraId="4433D760"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94,81</w:t>
            </w:r>
          </w:p>
        </w:tc>
      </w:tr>
      <w:tr w:rsidR="00065F90" w:rsidRPr="00553AEA" w14:paraId="7B50E243"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B49CEC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6610</w:t>
            </w:r>
          </w:p>
        </w:tc>
        <w:tc>
          <w:tcPr>
            <w:tcW w:w="4320" w:type="dxa"/>
            <w:tcBorders>
              <w:top w:val="nil"/>
              <w:left w:val="nil"/>
              <w:bottom w:val="single" w:sz="4" w:space="0" w:color="auto"/>
              <w:right w:val="single" w:sz="4" w:space="0" w:color="auto"/>
            </w:tcBorders>
            <w:shd w:val="clear" w:color="auto" w:fill="auto"/>
            <w:vAlign w:val="center"/>
            <w:hideMark/>
          </w:tcPr>
          <w:p w14:paraId="198F9DD0" w14:textId="77777777" w:rsidR="00065F90" w:rsidRDefault="00065F90" w:rsidP="00065F90">
            <w:pPr>
              <w:jc w:val="left"/>
              <w:rPr>
                <w:rFonts w:ascii="Calibri" w:hAnsi="Calibri"/>
                <w:sz w:val="20"/>
                <w:szCs w:val="20"/>
                <w:lang w:val="sr-Latn-RS"/>
              </w:rPr>
            </w:pPr>
            <w:r w:rsidRPr="00553AEA">
              <w:rPr>
                <w:rFonts w:ascii="Calibri" w:hAnsi="Calibri"/>
                <w:sz w:val="20"/>
                <w:szCs w:val="20"/>
                <w:lang w:val="sr-Latn-RS"/>
              </w:rPr>
              <w:t>Трошкови производних услуга – услуге одржавања</w:t>
            </w:r>
          </w:p>
          <w:p w14:paraId="35A5FA66" w14:textId="77777777" w:rsidR="00065F90" w:rsidRPr="00553AEA" w:rsidRDefault="00065F90" w:rsidP="00065F90">
            <w:pPr>
              <w:jc w:val="left"/>
              <w:rPr>
                <w:rFonts w:ascii="Calibri" w:hAnsi="Calibri"/>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14:paraId="3B83D99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8.600,00</w:t>
            </w:r>
          </w:p>
        </w:tc>
        <w:tc>
          <w:tcPr>
            <w:tcW w:w="1320" w:type="dxa"/>
            <w:tcBorders>
              <w:top w:val="nil"/>
              <w:left w:val="nil"/>
              <w:bottom w:val="single" w:sz="4" w:space="0" w:color="auto"/>
              <w:right w:val="single" w:sz="4" w:space="0" w:color="auto"/>
            </w:tcBorders>
            <w:shd w:val="clear" w:color="auto" w:fill="auto"/>
            <w:noWrap/>
            <w:vAlign w:val="center"/>
            <w:hideMark/>
          </w:tcPr>
          <w:p w14:paraId="4C4075F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13.815,61</w:t>
            </w:r>
          </w:p>
        </w:tc>
        <w:tc>
          <w:tcPr>
            <w:tcW w:w="1080" w:type="dxa"/>
            <w:tcBorders>
              <w:top w:val="nil"/>
              <w:left w:val="nil"/>
              <w:bottom w:val="single" w:sz="4" w:space="0" w:color="auto"/>
              <w:right w:val="single" w:sz="4" w:space="0" w:color="auto"/>
            </w:tcBorders>
            <w:shd w:val="clear" w:color="auto" w:fill="auto"/>
            <w:noWrap/>
            <w:vAlign w:val="center"/>
            <w:hideMark/>
          </w:tcPr>
          <w:p w14:paraId="5FF9557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160,65</w:t>
            </w:r>
          </w:p>
        </w:tc>
      </w:tr>
      <w:tr w:rsidR="00065F90" w:rsidRPr="00553AEA" w14:paraId="4FA5FAD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tcPr>
          <w:p w14:paraId="6905265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6611</w:t>
            </w:r>
          </w:p>
        </w:tc>
        <w:tc>
          <w:tcPr>
            <w:tcW w:w="4320" w:type="dxa"/>
            <w:tcBorders>
              <w:top w:val="nil"/>
              <w:left w:val="nil"/>
              <w:bottom w:val="single" w:sz="4" w:space="0" w:color="auto"/>
              <w:right w:val="single" w:sz="4" w:space="0" w:color="auto"/>
            </w:tcBorders>
            <w:shd w:val="clear" w:color="auto" w:fill="auto"/>
            <w:vAlign w:val="center"/>
          </w:tcPr>
          <w:p w14:paraId="059CB725"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производних услуга -  одржавање softvera</w:t>
            </w:r>
          </w:p>
        </w:tc>
        <w:tc>
          <w:tcPr>
            <w:tcW w:w="1340" w:type="dxa"/>
            <w:tcBorders>
              <w:top w:val="nil"/>
              <w:left w:val="nil"/>
              <w:bottom w:val="single" w:sz="4" w:space="0" w:color="auto"/>
              <w:right w:val="single" w:sz="4" w:space="0" w:color="auto"/>
            </w:tcBorders>
            <w:shd w:val="clear" w:color="auto" w:fill="auto"/>
            <w:noWrap/>
            <w:vAlign w:val="center"/>
          </w:tcPr>
          <w:p w14:paraId="682AAA41"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45.000,00</w:t>
            </w:r>
          </w:p>
        </w:tc>
        <w:tc>
          <w:tcPr>
            <w:tcW w:w="1320" w:type="dxa"/>
            <w:tcBorders>
              <w:top w:val="nil"/>
              <w:left w:val="nil"/>
              <w:bottom w:val="single" w:sz="4" w:space="0" w:color="auto"/>
              <w:right w:val="single" w:sz="4" w:space="0" w:color="auto"/>
            </w:tcBorders>
            <w:shd w:val="clear" w:color="auto" w:fill="auto"/>
            <w:noWrap/>
            <w:vAlign w:val="center"/>
          </w:tcPr>
          <w:p w14:paraId="47D2791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43.636,32</w:t>
            </w:r>
          </w:p>
        </w:tc>
        <w:tc>
          <w:tcPr>
            <w:tcW w:w="1080" w:type="dxa"/>
            <w:tcBorders>
              <w:top w:val="nil"/>
              <w:left w:val="nil"/>
              <w:bottom w:val="single" w:sz="4" w:space="0" w:color="auto"/>
              <w:right w:val="single" w:sz="4" w:space="0" w:color="auto"/>
            </w:tcBorders>
            <w:shd w:val="clear" w:color="auto" w:fill="auto"/>
            <w:noWrap/>
            <w:vAlign w:val="center"/>
          </w:tcPr>
          <w:p w14:paraId="707B923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96,97</w:t>
            </w:r>
          </w:p>
        </w:tc>
      </w:tr>
      <w:tr w:rsidR="00065F90" w:rsidRPr="00553AEA" w14:paraId="2BABF7F8"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2D93D082"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662</w:t>
            </w:r>
          </w:p>
        </w:tc>
        <w:tc>
          <w:tcPr>
            <w:tcW w:w="4320" w:type="dxa"/>
            <w:tcBorders>
              <w:top w:val="nil"/>
              <w:left w:val="nil"/>
              <w:bottom w:val="single" w:sz="4" w:space="0" w:color="auto"/>
              <w:right w:val="single" w:sz="4" w:space="0" w:color="auto"/>
            </w:tcBorders>
            <w:shd w:val="clear" w:color="000000" w:fill="C5D9F1"/>
            <w:vAlign w:val="center"/>
            <w:hideMark/>
          </w:tcPr>
          <w:p w14:paraId="1AB2E7FE"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амортизације</w:t>
            </w:r>
          </w:p>
        </w:tc>
        <w:tc>
          <w:tcPr>
            <w:tcW w:w="1340" w:type="dxa"/>
            <w:tcBorders>
              <w:top w:val="nil"/>
              <w:left w:val="nil"/>
              <w:bottom w:val="single" w:sz="4" w:space="0" w:color="auto"/>
              <w:right w:val="single" w:sz="4" w:space="0" w:color="auto"/>
            </w:tcBorders>
            <w:shd w:val="clear" w:color="000000" w:fill="C5D9F1"/>
            <w:noWrap/>
            <w:vAlign w:val="center"/>
            <w:hideMark/>
          </w:tcPr>
          <w:p w14:paraId="5C7AA9CD"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55.970,00</w:t>
            </w:r>
          </w:p>
        </w:tc>
        <w:tc>
          <w:tcPr>
            <w:tcW w:w="1320" w:type="dxa"/>
            <w:tcBorders>
              <w:top w:val="nil"/>
              <w:left w:val="nil"/>
              <w:bottom w:val="single" w:sz="4" w:space="0" w:color="auto"/>
              <w:right w:val="single" w:sz="4" w:space="0" w:color="auto"/>
            </w:tcBorders>
            <w:shd w:val="clear" w:color="000000" w:fill="C5D9F1"/>
            <w:noWrap/>
            <w:vAlign w:val="center"/>
            <w:hideMark/>
          </w:tcPr>
          <w:p w14:paraId="68D115F5"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47.912,67</w:t>
            </w:r>
          </w:p>
        </w:tc>
        <w:tc>
          <w:tcPr>
            <w:tcW w:w="1080" w:type="dxa"/>
            <w:tcBorders>
              <w:top w:val="nil"/>
              <w:left w:val="nil"/>
              <w:bottom w:val="single" w:sz="4" w:space="0" w:color="auto"/>
              <w:right w:val="single" w:sz="4" w:space="0" w:color="auto"/>
            </w:tcBorders>
            <w:shd w:val="clear" w:color="000000" w:fill="C5D9F1"/>
            <w:noWrap/>
            <w:vAlign w:val="center"/>
            <w:hideMark/>
          </w:tcPr>
          <w:p w14:paraId="384434D7"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85,60</w:t>
            </w:r>
          </w:p>
        </w:tc>
      </w:tr>
      <w:tr w:rsidR="00065F90" w:rsidRPr="00553AEA" w14:paraId="2FA63AD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F54B31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6620</w:t>
            </w:r>
          </w:p>
        </w:tc>
        <w:tc>
          <w:tcPr>
            <w:tcW w:w="4320" w:type="dxa"/>
            <w:tcBorders>
              <w:top w:val="nil"/>
              <w:left w:val="nil"/>
              <w:bottom w:val="single" w:sz="4" w:space="0" w:color="auto"/>
              <w:right w:val="single" w:sz="4" w:space="0" w:color="auto"/>
            </w:tcBorders>
            <w:shd w:val="clear" w:color="auto" w:fill="auto"/>
            <w:vAlign w:val="center"/>
            <w:hideMark/>
          </w:tcPr>
          <w:p w14:paraId="6F677CE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амортизације основних средстава</w:t>
            </w:r>
          </w:p>
        </w:tc>
        <w:tc>
          <w:tcPr>
            <w:tcW w:w="1340" w:type="dxa"/>
            <w:tcBorders>
              <w:top w:val="nil"/>
              <w:left w:val="nil"/>
              <w:bottom w:val="single" w:sz="4" w:space="0" w:color="auto"/>
              <w:right w:val="single" w:sz="4" w:space="0" w:color="auto"/>
            </w:tcBorders>
            <w:shd w:val="clear" w:color="auto" w:fill="auto"/>
            <w:noWrap/>
            <w:vAlign w:val="center"/>
            <w:hideMark/>
          </w:tcPr>
          <w:p w14:paraId="70308ECC"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43.970,00</w:t>
            </w:r>
          </w:p>
        </w:tc>
        <w:tc>
          <w:tcPr>
            <w:tcW w:w="1320" w:type="dxa"/>
            <w:tcBorders>
              <w:top w:val="nil"/>
              <w:left w:val="nil"/>
              <w:bottom w:val="single" w:sz="4" w:space="0" w:color="auto"/>
              <w:right w:val="single" w:sz="4" w:space="0" w:color="auto"/>
            </w:tcBorders>
            <w:shd w:val="clear" w:color="auto" w:fill="auto"/>
            <w:noWrap/>
            <w:vAlign w:val="center"/>
            <w:hideMark/>
          </w:tcPr>
          <w:p w14:paraId="11E32E4F"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37.009,03</w:t>
            </w:r>
          </w:p>
        </w:tc>
        <w:tc>
          <w:tcPr>
            <w:tcW w:w="1080" w:type="dxa"/>
            <w:tcBorders>
              <w:top w:val="nil"/>
              <w:left w:val="nil"/>
              <w:bottom w:val="single" w:sz="4" w:space="0" w:color="auto"/>
              <w:right w:val="single" w:sz="4" w:space="0" w:color="auto"/>
            </w:tcBorders>
            <w:shd w:val="clear" w:color="auto" w:fill="auto"/>
            <w:noWrap/>
            <w:vAlign w:val="center"/>
            <w:hideMark/>
          </w:tcPr>
          <w:p w14:paraId="53744C7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84,17</w:t>
            </w:r>
          </w:p>
        </w:tc>
      </w:tr>
      <w:tr w:rsidR="00065F90" w:rsidRPr="00553AEA" w14:paraId="73D21B8F" w14:textId="77777777" w:rsidTr="009634B9">
        <w:trPr>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72AFF4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6621</w:t>
            </w:r>
          </w:p>
        </w:tc>
        <w:tc>
          <w:tcPr>
            <w:tcW w:w="4320" w:type="dxa"/>
            <w:tcBorders>
              <w:top w:val="nil"/>
              <w:left w:val="nil"/>
              <w:bottom w:val="single" w:sz="4" w:space="0" w:color="auto"/>
              <w:right w:val="single" w:sz="4" w:space="0" w:color="auto"/>
            </w:tcBorders>
            <w:shd w:val="clear" w:color="auto" w:fill="auto"/>
            <w:vAlign w:val="center"/>
            <w:hideMark/>
          </w:tcPr>
          <w:p w14:paraId="679005B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амортизације нематеријалне имовине</w:t>
            </w:r>
          </w:p>
        </w:tc>
        <w:tc>
          <w:tcPr>
            <w:tcW w:w="1340" w:type="dxa"/>
            <w:tcBorders>
              <w:top w:val="nil"/>
              <w:left w:val="nil"/>
              <w:bottom w:val="single" w:sz="4" w:space="0" w:color="auto"/>
              <w:right w:val="single" w:sz="4" w:space="0" w:color="auto"/>
            </w:tcBorders>
            <w:shd w:val="clear" w:color="auto" w:fill="auto"/>
            <w:noWrap/>
            <w:vAlign w:val="center"/>
            <w:hideMark/>
          </w:tcPr>
          <w:p w14:paraId="1B38C6F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9.000,00</w:t>
            </w:r>
          </w:p>
        </w:tc>
        <w:tc>
          <w:tcPr>
            <w:tcW w:w="1320" w:type="dxa"/>
            <w:tcBorders>
              <w:top w:val="nil"/>
              <w:left w:val="nil"/>
              <w:bottom w:val="single" w:sz="4" w:space="0" w:color="auto"/>
              <w:right w:val="single" w:sz="4" w:space="0" w:color="auto"/>
            </w:tcBorders>
            <w:shd w:val="clear" w:color="auto" w:fill="auto"/>
            <w:noWrap/>
            <w:vAlign w:val="center"/>
            <w:hideMark/>
          </w:tcPr>
          <w:p w14:paraId="6C35475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7.672,28</w:t>
            </w:r>
          </w:p>
        </w:tc>
        <w:tc>
          <w:tcPr>
            <w:tcW w:w="1080" w:type="dxa"/>
            <w:tcBorders>
              <w:top w:val="nil"/>
              <w:left w:val="nil"/>
              <w:bottom w:val="single" w:sz="4" w:space="0" w:color="auto"/>
              <w:right w:val="single" w:sz="4" w:space="0" w:color="auto"/>
            </w:tcBorders>
            <w:shd w:val="clear" w:color="auto" w:fill="auto"/>
            <w:noWrap/>
            <w:vAlign w:val="center"/>
            <w:hideMark/>
          </w:tcPr>
          <w:p w14:paraId="52FDF5F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85,25</w:t>
            </w:r>
          </w:p>
        </w:tc>
      </w:tr>
      <w:tr w:rsidR="00065F90" w:rsidRPr="00553AEA" w14:paraId="55FD623B"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E782F7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6620</w:t>
            </w:r>
          </w:p>
        </w:tc>
        <w:tc>
          <w:tcPr>
            <w:tcW w:w="4320" w:type="dxa"/>
            <w:tcBorders>
              <w:top w:val="nil"/>
              <w:left w:val="nil"/>
              <w:bottom w:val="single" w:sz="4" w:space="0" w:color="auto"/>
              <w:right w:val="single" w:sz="4" w:space="0" w:color="auto"/>
            </w:tcBorders>
            <w:shd w:val="clear" w:color="auto" w:fill="auto"/>
            <w:vAlign w:val="center"/>
            <w:hideMark/>
          </w:tcPr>
          <w:p w14:paraId="43C0CA8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амортизације – улагање у туђе некретнине</w:t>
            </w:r>
          </w:p>
        </w:tc>
        <w:tc>
          <w:tcPr>
            <w:tcW w:w="1340" w:type="dxa"/>
            <w:tcBorders>
              <w:top w:val="nil"/>
              <w:left w:val="nil"/>
              <w:bottom w:val="single" w:sz="4" w:space="0" w:color="auto"/>
              <w:right w:val="single" w:sz="4" w:space="0" w:color="auto"/>
            </w:tcBorders>
            <w:shd w:val="clear" w:color="auto" w:fill="auto"/>
            <w:noWrap/>
            <w:vAlign w:val="center"/>
            <w:hideMark/>
          </w:tcPr>
          <w:p w14:paraId="5625A981"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3.000,00</w:t>
            </w:r>
          </w:p>
        </w:tc>
        <w:tc>
          <w:tcPr>
            <w:tcW w:w="1320" w:type="dxa"/>
            <w:tcBorders>
              <w:top w:val="nil"/>
              <w:left w:val="nil"/>
              <w:bottom w:val="single" w:sz="4" w:space="0" w:color="auto"/>
              <w:right w:val="single" w:sz="4" w:space="0" w:color="auto"/>
            </w:tcBorders>
            <w:shd w:val="clear" w:color="auto" w:fill="auto"/>
            <w:noWrap/>
            <w:vAlign w:val="center"/>
            <w:hideMark/>
          </w:tcPr>
          <w:p w14:paraId="7DE4904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3.231,36</w:t>
            </w:r>
          </w:p>
        </w:tc>
        <w:tc>
          <w:tcPr>
            <w:tcW w:w="1080" w:type="dxa"/>
            <w:tcBorders>
              <w:top w:val="nil"/>
              <w:left w:val="nil"/>
              <w:bottom w:val="single" w:sz="4" w:space="0" w:color="auto"/>
              <w:right w:val="single" w:sz="4" w:space="0" w:color="auto"/>
            </w:tcBorders>
            <w:shd w:val="clear" w:color="auto" w:fill="auto"/>
            <w:noWrap/>
            <w:vAlign w:val="center"/>
            <w:hideMark/>
          </w:tcPr>
          <w:p w14:paraId="447EF80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107,71</w:t>
            </w:r>
          </w:p>
        </w:tc>
      </w:tr>
      <w:tr w:rsidR="00065F90" w:rsidRPr="00553AEA" w14:paraId="3F9A8E21" w14:textId="77777777" w:rsidTr="009634B9">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74AE54C9"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664</w:t>
            </w:r>
          </w:p>
        </w:tc>
        <w:tc>
          <w:tcPr>
            <w:tcW w:w="4320" w:type="dxa"/>
            <w:tcBorders>
              <w:top w:val="nil"/>
              <w:left w:val="nil"/>
              <w:bottom w:val="single" w:sz="4" w:space="0" w:color="auto"/>
              <w:right w:val="single" w:sz="4" w:space="0" w:color="auto"/>
            </w:tcBorders>
            <w:shd w:val="clear" w:color="000000" w:fill="C5D9F1"/>
            <w:vAlign w:val="center"/>
            <w:hideMark/>
          </w:tcPr>
          <w:p w14:paraId="5EF79DAD"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Нематеријални трошкови (без пореза и доприноса)</w:t>
            </w:r>
          </w:p>
        </w:tc>
        <w:tc>
          <w:tcPr>
            <w:tcW w:w="1340" w:type="dxa"/>
            <w:tcBorders>
              <w:top w:val="nil"/>
              <w:left w:val="nil"/>
              <w:bottom w:val="single" w:sz="4" w:space="0" w:color="auto"/>
              <w:right w:val="single" w:sz="4" w:space="0" w:color="auto"/>
            </w:tcBorders>
            <w:shd w:val="clear" w:color="000000" w:fill="C5D9F1"/>
            <w:noWrap/>
            <w:vAlign w:val="center"/>
            <w:hideMark/>
          </w:tcPr>
          <w:p w14:paraId="5C68DD06"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143.593,00</w:t>
            </w:r>
          </w:p>
        </w:tc>
        <w:tc>
          <w:tcPr>
            <w:tcW w:w="1320" w:type="dxa"/>
            <w:tcBorders>
              <w:top w:val="nil"/>
              <w:left w:val="nil"/>
              <w:bottom w:val="single" w:sz="4" w:space="0" w:color="auto"/>
              <w:right w:val="single" w:sz="4" w:space="0" w:color="auto"/>
            </w:tcBorders>
            <w:shd w:val="clear" w:color="000000" w:fill="C5D9F1"/>
            <w:noWrap/>
            <w:vAlign w:val="center"/>
            <w:hideMark/>
          </w:tcPr>
          <w:p w14:paraId="3DF40D97"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182.942,28</w:t>
            </w:r>
          </w:p>
        </w:tc>
        <w:tc>
          <w:tcPr>
            <w:tcW w:w="1080" w:type="dxa"/>
            <w:tcBorders>
              <w:top w:val="nil"/>
              <w:left w:val="nil"/>
              <w:bottom w:val="single" w:sz="4" w:space="0" w:color="auto"/>
              <w:right w:val="single" w:sz="4" w:space="0" w:color="auto"/>
            </w:tcBorders>
            <w:shd w:val="clear" w:color="000000" w:fill="C5D9F1"/>
            <w:noWrap/>
            <w:vAlign w:val="center"/>
            <w:hideMark/>
          </w:tcPr>
          <w:p w14:paraId="56BA2E99"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127,40</w:t>
            </w:r>
          </w:p>
        </w:tc>
      </w:tr>
      <w:tr w:rsidR="00065F90" w:rsidRPr="00553AEA" w14:paraId="58006A4F"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74B6D1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w:t>
            </w:r>
          </w:p>
        </w:tc>
        <w:tc>
          <w:tcPr>
            <w:tcW w:w="4320" w:type="dxa"/>
            <w:tcBorders>
              <w:top w:val="nil"/>
              <w:left w:val="nil"/>
              <w:bottom w:val="single" w:sz="4" w:space="0" w:color="auto"/>
              <w:right w:val="single" w:sz="4" w:space="0" w:color="auto"/>
            </w:tcBorders>
            <w:shd w:val="clear" w:color="auto" w:fill="auto"/>
            <w:vAlign w:val="center"/>
            <w:hideMark/>
          </w:tcPr>
          <w:p w14:paraId="13A4004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конкурса</w:t>
            </w:r>
          </w:p>
        </w:tc>
        <w:tc>
          <w:tcPr>
            <w:tcW w:w="1340" w:type="dxa"/>
            <w:tcBorders>
              <w:top w:val="nil"/>
              <w:left w:val="nil"/>
              <w:bottom w:val="single" w:sz="4" w:space="0" w:color="auto"/>
              <w:right w:val="single" w:sz="4" w:space="0" w:color="auto"/>
            </w:tcBorders>
            <w:shd w:val="clear" w:color="auto" w:fill="auto"/>
            <w:noWrap/>
            <w:vAlign w:val="center"/>
            <w:hideMark/>
          </w:tcPr>
          <w:p w14:paraId="15ABEBEE"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7F86C32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811,42</w:t>
            </w:r>
          </w:p>
        </w:tc>
        <w:tc>
          <w:tcPr>
            <w:tcW w:w="1080" w:type="dxa"/>
            <w:tcBorders>
              <w:top w:val="nil"/>
              <w:left w:val="nil"/>
              <w:bottom w:val="single" w:sz="4" w:space="0" w:color="auto"/>
              <w:right w:val="single" w:sz="4" w:space="0" w:color="auto"/>
            </w:tcBorders>
            <w:shd w:val="clear" w:color="auto" w:fill="auto"/>
            <w:noWrap/>
            <w:vAlign w:val="center"/>
            <w:hideMark/>
          </w:tcPr>
          <w:p w14:paraId="6FF9AA1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40,57</w:t>
            </w:r>
          </w:p>
        </w:tc>
      </w:tr>
      <w:tr w:rsidR="00065F90" w:rsidRPr="00553AEA" w14:paraId="3A3B9BB8"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2FB4D1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66410</w:t>
            </w:r>
          </w:p>
        </w:tc>
        <w:tc>
          <w:tcPr>
            <w:tcW w:w="4320" w:type="dxa"/>
            <w:tcBorders>
              <w:top w:val="nil"/>
              <w:left w:val="nil"/>
              <w:bottom w:val="single" w:sz="4" w:space="0" w:color="auto"/>
              <w:right w:val="single" w:sz="4" w:space="0" w:color="auto"/>
            </w:tcBorders>
            <w:shd w:val="clear" w:color="auto" w:fill="auto"/>
            <w:vAlign w:val="center"/>
            <w:hideMark/>
          </w:tcPr>
          <w:p w14:paraId="1DC83C0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стручне литературе – часописи</w:t>
            </w:r>
          </w:p>
        </w:tc>
        <w:tc>
          <w:tcPr>
            <w:tcW w:w="1340" w:type="dxa"/>
            <w:tcBorders>
              <w:top w:val="nil"/>
              <w:left w:val="nil"/>
              <w:bottom w:val="single" w:sz="4" w:space="0" w:color="auto"/>
              <w:right w:val="single" w:sz="4" w:space="0" w:color="auto"/>
            </w:tcBorders>
            <w:shd w:val="clear" w:color="auto" w:fill="auto"/>
            <w:noWrap/>
            <w:vAlign w:val="center"/>
            <w:hideMark/>
          </w:tcPr>
          <w:p w14:paraId="25B38A86"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4.000,00</w:t>
            </w:r>
          </w:p>
        </w:tc>
        <w:tc>
          <w:tcPr>
            <w:tcW w:w="1320" w:type="dxa"/>
            <w:tcBorders>
              <w:top w:val="nil"/>
              <w:left w:val="nil"/>
              <w:bottom w:val="single" w:sz="4" w:space="0" w:color="auto"/>
              <w:right w:val="single" w:sz="4" w:space="0" w:color="auto"/>
            </w:tcBorders>
            <w:shd w:val="clear" w:color="auto" w:fill="auto"/>
            <w:noWrap/>
            <w:vAlign w:val="center"/>
            <w:hideMark/>
          </w:tcPr>
          <w:p w14:paraId="73D5F01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1.839,50</w:t>
            </w:r>
          </w:p>
        </w:tc>
        <w:tc>
          <w:tcPr>
            <w:tcW w:w="1080" w:type="dxa"/>
            <w:tcBorders>
              <w:top w:val="nil"/>
              <w:left w:val="nil"/>
              <w:bottom w:val="single" w:sz="4" w:space="0" w:color="auto"/>
              <w:right w:val="single" w:sz="4" w:space="0" w:color="auto"/>
            </w:tcBorders>
            <w:shd w:val="clear" w:color="auto" w:fill="auto"/>
            <w:noWrap/>
            <w:vAlign w:val="center"/>
            <w:hideMark/>
          </w:tcPr>
          <w:p w14:paraId="7167E7F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45,99</w:t>
            </w:r>
          </w:p>
        </w:tc>
      </w:tr>
      <w:tr w:rsidR="00065F90" w:rsidRPr="00553AEA" w14:paraId="4D32B4AB"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BD1AE5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66411</w:t>
            </w:r>
          </w:p>
        </w:tc>
        <w:tc>
          <w:tcPr>
            <w:tcW w:w="4320" w:type="dxa"/>
            <w:tcBorders>
              <w:top w:val="nil"/>
              <w:left w:val="nil"/>
              <w:bottom w:val="single" w:sz="4" w:space="0" w:color="auto"/>
              <w:right w:val="single" w:sz="4" w:space="0" w:color="auto"/>
            </w:tcBorders>
            <w:shd w:val="clear" w:color="auto" w:fill="auto"/>
            <w:vAlign w:val="center"/>
            <w:hideMark/>
          </w:tcPr>
          <w:p w14:paraId="561A514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услуге одржавања (осиг.и видео надзор)</w:t>
            </w:r>
          </w:p>
        </w:tc>
        <w:tc>
          <w:tcPr>
            <w:tcW w:w="1340" w:type="dxa"/>
            <w:tcBorders>
              <w:top w:val="nil"/>
              <w:left w:val="nil"/>
              <w:bottom w:val="single" w:sz="4" w:space="0" w:color="auto"/>
              <w:right w:val="single" w:sz="4" w:space="0" w:color="auto"/>
            </w:tcBorders>
            <w:shd w:val="clear" w:color="auto" w:fill="auto"/>
            <w:noWrap/>
            <w:vAlign w:val="center"/>
            <w:hideMark/>
          </w:tcPr>
          <w:p w14:paraId="4AAC7BBD"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4.200,00</w:t>
            </w:r>
          </w:p>
        </w:tc>
        <w:tc>
          <w:tcPr>
            <w:tcW w:w="1320" w:type="dxa"/>
            <w:tcBorders>
              <w:top w:val="nil"/>
              <w:left w:val="nil"/>
              <w:bottom w:val="single" w:sz="4" w:space="0" w:color="auto"/>
              <w:right w:val="single" w:sz="4" w:space="0" w:color="auto"/>
            </w:tcBorders>
            <w:shd w:val="clear" w:color="auto" w:fill="auto"/>
            <w:noWrap/>
            <w:vAlign w:val="center"/>
            <w:hideMark/>
          </w:tcPr>
          <w:p w14:paraId="5613D9E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1.434,75</w:t>
            </w:r>
          </w:p>
        </w:tc>
        <w:tc>
          <w:tcPr>
            <w:tcW w:w="1080" w:type="dxa"/>
            <w:tcBorders>
              <w:top w:val="nil"/>
              <w:left w:val="nil"/>
              <w:bottom w:val="single" w:sz="4" w:space="0" w:color="auto"/>
              <w:right w:val="single" w:sz="4" w:space="0" w:color="auto"/>
            </w:tcBorders>
            <w:shd w:val="clear" w:color="auto" w:fill="auto"/>
            <w:noWrap/>
            <w:vAlign w:val="center"/>
            <w:hideMark/>
          </w:tcPr>
          <w:p w14:paraId="529C31E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34,16</w:t>
            </w:r>
          </w:p>
        </w:tc>
      </w:tr>
      <w:tr w:rsidR="00065F90" w:rsidRPr="00553AEA" w14:paraId="219CF62C"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D49F0D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66414</w:t>
            </w:r>
          </w:p>
        </w:tc>
        <w:tc>
          <w:tcPr>
            <w:tcW w:w="4320" w:type="dxa"/>
            <w:tcBorders>
              <w:top w:val="nil"/>
              <w:left w:val="nil"/>
              <w:bottom w:val="single" w:sz="4" w:space="0" w:color="auto"/>
              <w:right w:val="single" w:sz="4" w:space="0" w:color="auto"/>
            </w:tcBorders>
            <w:shd w:val="clear" w:color="auto" w:fill="auto"/>
            <w:vAlign w:val="center"/>
            <w:hideMark/>
          </w:tcPr>
          <w:p w14:paraId="08A95774"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трошкови пенали и накнада штете</w:t>
            </w:r>
          </w:p>
        </w:tc>
        <w:tc>
          <w:tcPr>
            <w:tcW w:w="1340" w:type="dxa"/>
            <w:tcBorders>
              <w:top w:val="nil"/>
              <w:left w:val="nil"/>
              <w:bottom w:val="single" w:sz="4" w:space="0" w:color="auto"/>
              <w:right w:val="single" w:sz="4" w:space="0" w:color="auto"/>
            </w:tcBorders>
            <w:shd w:val="clear" w:color="auto" w:fill="auto"/>
            <w:noWrap/>
            <w:vAlign w:val="center"/>
            <w:hideMark/>
          </w:tcPr>
          <w:p w14:paraId="638CAD7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Latn-RS"/>
              </w:rPr>
              <w:t> </w:t>
            </w:r>
          </w:p>
        </w:tc>
        <w:tc>
          <w:tcPr>
            <w:tcW w:w="1320" w:type="dxa"/>
            <w:tcBorders>
              <w:top w:val="nil"/>
              <w:left w:val="nil"/>
              <w:bottom w:val="single" w:sz="4" w:space="0" w:color="auto"/>
              <w:right w:val="single" w:sz="4" w:space="0" w:color="auto"/>
            </w:tcBorders>
            <w:shd w:val="clear" w:color="auto" w:fill="auto"/>
            <w:noWrap/>
            <w:vAlign w:val="center"/>
            <w:hideMark/>
          </w:tcPr>
          <w:p w14:paraId="26E7B48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288,75</w:t>
            </w:r>
          </w:p>
        </w:tc>
        <w:tc>
          <w:tcPr>
            <w:tcW w:w="1080" w:type="dxa"/>
            <w:tcBorders>
              <w:top w:val="nil"/>
              <w:left w:val="nil"/>
              <w:bottom w:val="single" w:sz="4" w:space="0" w:color="auto"/>
              <w:right w:val="single" w:sz="4" w:space="0" w:color="auto"/>
            </w:tcBorders>
            <w:shd w:val="clear" w:color="auto" w:fill="auto"/>
            <w:noWrap/>
            <w:vAlign w:val="center"/>
            <w:hideMark/>
          </w:tcPr>
          <w:p w14:paraId="22047F86"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2BE8D5DC"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D9CBC3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66415</w:t>
            </w:r>
          </w:p>
        </w:tc>
        <w:tc>
          <w:tcPr>
            <w:tcW w:w="4320" w:type="dxa"/>
            <w:tcBorders>
              <w:top w:val="nil"/>
              <w:left w:val="nil"/>
              <w:bottom w:val="single" w:sz="4" w:space="0" w:color="auto"/>
              <w:right w:val="single" w:sz="4" w:space="0" w:color="auto"/>
            </w:tcBorders>
            <w:shd w:val="clear" w:color="auto" w:fill="auto"/>
            <w:vAlign w:val="center"/>
            <w:hideMark/>
          </w:tcPr>
          <w:p w14:paraId="20EC8536"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комуналне услуге</w:t>
            </w:r>
          </w:p>
        </w:tc>
        <w:tc>
          <w:tcPr>
            <w:tcW w:w="1340" w:type="dxa"/>
            <w:tcBorders>
              <w:top w:val="nil"/>
              <w:left w:val="nil"/>
              <w:bottom w:val="single" w:sz="4" w:space="0" w:color="auto"/>
              <w:right w:val="single" w:sz="4" w:space="0" w:color="auto"/>
            </w:tcBorders>
            <w:shd w:val="clear" w:color="auto" w:fill="auto"/>
            <w:noWrap/>
            <w:vAlign w:val="center"/>
            <w:hideMark/>
          </w:tcPr>
          <w:p w14:paraId="2CBF2131"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400,00</w:t>
            </w:r>
          </w:p>
        </w:tc>
        <w:tc>
          <w:tcPr>
            <w:tcW w:w="1320" w:type="dxa"/>
            <w:tcBorders>
              <w:top w:val="nil"/>
              <w:left w:val="nil"/>
              <w:bottom w:val="single" w:sz="4" w:space="0" w:color="auto"/>
              <w:right w:val="single" w:sz="4" w:space="0" w:color="auto"/>
            </w:tcBorders>
            <w:shd w:val="clear" w:color="auto" w:fill="auto"/>
            <w:noWrap/>
            <w:vAlign w:val="center"/>
            <w:hideMark/>
          </w:tcPr>
          <w:p w14:paraId="3B690D99"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301,66</w:t>
            </w:r>
          </w:p>
        </w:tc>
        <w:tc>
          <w:tcPr>
            <w:tcW w:w="1080" w:type="dxa"/>
            <w:tcBorders>
              <w:top w:val="nil"/>
              <w:left w:val="nil"/>
              <w:bottom w:val="single" w:sz="4" w:space="0" w:color="auto"/>
              <w:right w:val="single" w:sz="4" w:space="0" w:color="auto"/>
            </w:tcBorders>
            <w:shd w:val="clear" w:color="auto" w:fill="auto"/>
            <w:noWrap/>
            <w:vAlign w:val="center"/>
            <w:hideMark/>
          </w:tcPr>
          <w:p w14:paraId="483B744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75,42</w:t>
            </w:r>
          </w:p>
        </w:tc>
      </w:tr>
      <w:tr w:rsidR="00065F90" w:rsidRPr="00553AEA" w14:paraId="25879CB9"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E611B6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66417</w:t>
            </w:r>
          </w:p>
        </w:tc>
        <w:tc>
          <w:tcPr>
            <w:tcW w:w="4320" w:type="dxa"/>
            <w:tcBorders>
              <w:top w:val="nil"/>
              <w:left w:val="nil"/>
              <w:bottom w:val="single" w:sz="4" w:space="0" w:color="auto"/>
              <w:right w:val="single" w:sz="4" w:space="0" w:color="auto"/>
            </w:tcBorders>
            <w:shd w:val="clear" w:color="auto" w:fill="auto"/>
            <w:vAlign w:val="center"/>
            <w:hideMark/>
          </w:tcPr>
          <w:p w14:paraId="0E645CD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ревизије финансијских извјештаја</w:t>
            </w:r>
          </w:p>
        </w:tc>
        <w:tc>
          <w:tcPr>
            <w:tcW w:w="1340" w:type="dxa"/>
            <w:tcBorders>
              <w:top w:val="nil"/>
              <w:left w:val="nil"/>
              <w:bottom w:val="single" w:sz="4" w:space="0" w:color="auto"/>
              <w:right w:val="single" w:sz="4" w:space="0" w:color="auto"/>
            </w:tcBorders>
            <w:shd w:val="clear" w:color="auto" w:fill="auto"/>
            <w:noWrap/>
            <w:vAlign w:val="center"/>
            <w:hideMark/>
          </w:tcPr>
          <w:p w14:paraId="3B4B511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6.903,00</w:t>
            </w:r>
          </w:p>
        </w:tc>
        <w:tc>
          <w:tcPr>
            <w:tcW w:w="1320" w:type="dxa"/>
            <w:tcBorders>
              <w:top w:val="nil"/>
              <w:left w:val="nil"/>
              <w:bottom w:val="single" w:sz="4" w:space="0" w:color="auto"/>
              <w:right w:val="single" w:sz="4" w:space="0" w:color="auto"/>
            </w:tcBorders>
            <w:shd w:val="clear" w:color="auto" w:fill="auto"/>
            <w:noWrap/>
            <w:vAlign w:val="center"/>
            <w:hideMark/>
          </w:tcPr>
          <w:p w14:paraId="5372D225"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6.903,00</w:t>
            </w:r>
          </w:p>
        </w:tc>
        <w:tc>
          <w:tcPr>
            <w:tcW w:w="1080" w:type="dxa"/>
            <w:tcBorders>
              <w:top w:val="nil"/>
              <w:left w:val="nil"/>
              <w:bottom w:val="single" w:sz="4" w:space="0" w:color="auto"/>
              <w:right w:val="single" w:sz="4" w:space="0" w:color="auto"/>
            </w:tcBorders>
            <w:shd w:val="clear" w:color="auto" w:fill="auto"/>
            <w:noWrap/>
            <w:vAlign w:val="center"/>
            <w:hideMark/>
          </w:tcPr>
          <w:p w14:paraId="76F4B9C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100,00</w:t>
            </w:r>
          </w:p>
        </w:tc>
      </w:tr>
      <w:tr w:rsidR="00065F90" w:rsidRPr="00553AEA" w14:paraId="55C2271F"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E943D3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w:t>
            </w:r>
          </w:p>
        </w:tc>
        <w:tc>
          <w:tcPr>
            <w:tcW w:w="4320" w:type="dxa"/>
            <w:tcBorders>
              <w:top w:val="nil"/>
              <w:left w:val="nil"/>
              <w:bottom w:val="single" w:sz="4" w:space="0" w:color="auto"/>
              <w:right w:val="single" w:sz="4" w:space="0" w:color="auto"/>
            </w:tcBorders>
            <w:shd w:val="clear" w:color="auto" w:fill="auto"/>
            <w:vAlign w:val="center"/>
            <w:hideMark/>
          </w:tcPr>
          <w:p w14:paraId="77FE842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нотарских услуга</w:t>
            </w:r>
          </w:p>
        </w:tc>
        <w:tc>
          <w:tcPr>
            <w:tcW w:w="1340" w:type="dxa"/>
            <w:tcBorders>
              <w:top w:val="nil"/>
              <w:left w:val="nil"/>
              <w:bottom w:val="single" w:sz="4" w:space="0" w:color="auto"/>
              <w:right w:val="single" w:sz="4" w:space="0" w:color="auto"/>
            </w:tcBorders>
            <w:shd w:val="clear" w:color="auto" w:fill="auto"/>
            <w:noWrap/>
            <w:vAlign w:val="center"/>
            <w:hideMark/>
          </w:tcPr>
          <w:p w14:paraId="7A1FFBEB"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800,00</w:t>
            </w:r>
          </w:p>
        </w:tc>
        <w:tc>
          <w:tcPr>
            <w:tcW w:w="1320" w:type="dxa"/>
            <w:tcBorders>
              <w:top w:val="nil"/>
              <w:left w:val="nil"/>
              <w:bottom w:val="single" w:sz="4" w:space="0" w:color="auto"/>
              <w:right w:val="single" w:sz="4" w:space="0" w:color="auto"/>
            </w:tcBorders>
            <w:shd w:val="clear" w:color="auto" w:fill="auto"/>
            <w:noWrap/>
            <w:vAlign w:val="center"/>
            <w:hideMark/>
          </w:tcPr>
          <w:p w14:paraId="3810520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498,42</w:t>
            </w:r>
          </w:p>
        </w:tc>
        <w:tc>
          <w:tcPr>
            <w:tcW w:w="1080" w:type="dxa"/>
            <w:tcBorders>
              <w:top w:val="nil"/>
              <w:left w:val="nil"/>
              <w:bottom w:val="single" w:sz="4" w:space="0" w:color="auto"/>
              <w:right w:val="single" w:sz="4" w:space="0" w:color="auto"/>
            </w:tcBorders>
            <w:shd w:val="clear" w:color="auto" w:fill="auto"/>
            <w:noWrap/>
            <w:vAlign w:val="center"/>
            <w:hideMark/>
          </w:tcPr>
          <w:p w14:paraId="65284A9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62,30</w:t>
            </w:r>
          </w:p>
        </w:tc>
      </w:tr>
      <w:tr w:rsidR="00065F90" w:rsidRPr="00553AEA" w14:paraId="34A40744"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463A6C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66420</w:t>
            </w:r>
          </w:p>
        </w:tc>
        <w:tc>
          <w:tcPr>
            <w:tcW w:w="4320" w:type="dxa"/>
            <w:tcBorders>
              <w:top w:val="nil"/>
              <w:left w:val="nil"/>
              <w:bottom w:val="single" w:sz="4" w:space="0" w:color="auto"/>
              <w:right w:val="single" w:sz="4" w:space="0" w:color="auto"/>
            </w:tcBorders>
            <w:shd w:val="clear" w:color="auto" w:fill="auto"/>
            <w:vAlign w:val="center"/>
            <w:hideMark/>
          </w:tcPr>
          <w:p w14:paraId="4E02FECF"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дневне новине</w:t>
            </w:r>
          </w:p>
        </w:tc>
        <w:tc>
          <w:tcPr>
            <w:tcW w:w="1340" w:type="dxa"/>
            <w:tcBorders>
              <w:top w:val="nil"/>
              <w:left w:val="nil"/>
              <w:bottom w:val="single" w:sz="4" w:space="0" w:color="auto"/>
              <w:right w:val="single" w:sz="4" w:space="0" w:color="auto"/>
            </w:tcBorders>
            <w:shd w:val="clear" w:color="auto" w:fill="auto"/>
            <w:noWrap/>
            <w:vAlign w:val="center"/>
            <w:hideMark/>
          </w:tcPr>
          <w:p w14:paraId="63F61A1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1.800,00</w:t>
            </w:r>
          </w:p>
        </w:tc>
        <w:tc>
          <w:tcPr>
            <w:tcW w:w="1320" w:type="dxa"/>
            <w:tcBorders>
              <w:top w:val="nil"/>
              <w:left w:val="nil"/>
              <w:bottom w:val="single" w:sz="4" w:space="0" w:color="auto"/>
              <w:right w:val="single" w:sz="4" w:space="0" w:color="auto"/>
            </w:tcBorders>
            <w:shd w:val="clear" w:color="auto" w:fill="auto"/>
            <w:noWrap/>
            <w:vAlign w:val="center"/>
            <w:hideMark/>
          </w:tcPr>
          <w:p w14:paraId="7354152F"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757,40</w:t>
            </w:r>
          </w:p>
        </w:tc>
        <w:tc>
          <w:tcPr>
            <w:tcW w:w="1080" w:type="dxa"/>
            <w:tcBorders>
              <w:top w:val="nil"/>
              <w:left w:val="nil"/>
              <w:bottom w:val="single" w:sz="4" w:space="0" w:color="auto"/>
              <w:right w:val="single" w:sz="4" w:space="0" w:color="auto"/>
            </w:tcBorders>
            <w:shd w:val="clear" w:color="auto" w:fill="auto"/>
            <w:noWrap/>
            <w:vAlign w:val="center"/>
            <w:hideMark/>
          </w:tcPr>
          <w:p w14:paraId="7BBD9FAF"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42,08</w:t>
            </w:r>
          </w:p>
        </w:tc>
      </w:tr>
      <w:tr w:rsidR="00065F90" w:rsidRPr="00553AEA" w14:paraId="0C5AC037"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3B79DF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66421</w:t>
            </w:r>
          </w:p>
        </w:tc>
        <w:tc>
          <w:tcPr>
            <w:tcW w:w="4320" w:type="dxa"/>
            <w:tcBorders>
              <w:top w:val="nil"/>
              <w:left w:val="nil"/>
              <w:bottom w:val="single" w:sz="4" w:space="0" w:color="auto"/>
              <w:right w:val="single" w:sz="4" w:space="0" w:color="auto"/>
            </w:tcBorders>
            <w:shd w:val="clear" w:color="auto" w:fill="auto"/>
            <w:vAlign w:val="center"/>
            <w:hideMark/>
          </w:tcPr>
          <w:p w14:paraId="0632B8B0"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брокерске услуге</w:t>
            </w:r>
          </w:p>
        </w:tc>
        <w:tc>
          <w:tcPr>
            <w:tcW w:w="1340" w:type="dxa"/>
            <w:tcBorders>
              <w:top w:val="nil"/>
              <w:left w:val="nil"/>
              <w:bottom w:val="single" w:sz="4" w:space="0" w:color="auto"/>
              <w:right w:val="single" w:sz="4" w:space="0" w:color="auto"/>
            </w:tcBorders>
            <w:shd w:val="clear" w:color="auto" w:fill="auto"/>
            <w:noWrap/>
            <w:vAlign w:val="center"/>
            <w:hideMark/>
          </w:tcPr>
          <w:p w14:paraId="62E3E9C3"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500,00</w:t>
            </w:r>
          </w:p>
        </w:tc>
        <w:tc>
          <w:tcPr>
            <w:tcW w:w="1320" w:type="dxa"/>
            <w:tcBorders>
              <w:top w:val="nil"/>
              <w:left w:val="nil"/>
              <w:bottom w:val="single" w:sz="4" w:space="0" w:color="auto"/>
              <w:right w:val="single" w:sz="4" w:space="0" w:color="auto"/>
            </w:tcBorders>
            <w:shd w:val="clear" w:color="auto" w:fill="auto"/>
            <w:noWrap/>
            <w:vAlign w:val="center"/>
            <w:hideMark/>
          </w:tcPr>
          <w:p w14:paraId="5C8BD60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870,00</w:t>
            </w:r>
          </w:p>
        </w:tc>
        <w:tc>
          <w:tcPr>
            <w:tcW w:w="1080" w:type="dxa"/>
            <w:tcBorders>
              <w:top w:val="nil"/>
              <w:left w:val="nil"/>
              <w:bottom w:val="single" w:sz="4" w:space="0" w:color="auto"/>
              <w:right w:val="single" w:sz="4" w:space="0" w:color="auto"/>
            </w:tcBorders>
            <w:shd w:val="clear" w:color="auto" w:fill="auto"/>
            <w:noWrap/>
            <w:vAlign w:val="center"/>
            <w:hideMark/>
          </w:tcPr>
          <w:p w14:paraId="7B9E8B8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174,00</w:t>
            </w:r>
          </w:p>
        </w:tc>
      </w:tr>
      <w:tr w:rsidR="00065F90" w:rsidRPr="00553AEA" w14:paraId="7C6C94AD"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08CA44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66422</w:t>
            </w:r>
          </w:p>
        </w:tc>
        <w:tc>
          <w:tcPr>
            <w:tcW w:w="4320" w:type="dxa"/>
            <w:tcBorders>
              <w:top w:val="nil"/>
              <w:left w:val="nil"/>
              <w:bottom w:val="single" w:sz="4" w:space="0" w:color="auto"/>
              <w:right w:val="single" w:sz="4" w:space="0" w:color="auto"/>
            </w:tcBorders>
            <w:shd w:val="clear" w:color="auto" w:fill="auto"/>
            <w:vAlign w:val="center"/>
            <w:hideMark/>
          </w:tcPr>
          <w:p w14:paraId="7E86BDEF"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електронско банкарство</w:t>
            </w:r>
          </w:p>
        </w:tc>
        <w:tc>
          <w:tcPr>
            <w:tcW w:w="1340" w:type="dxa"/>
            <w:tcBorders>
              <w:top w:val="nil"/>
              <w:left w:val="nil"/>
              <w:bottom w:val="single" w:sz="4" w:space="0" w:color="auto"/>
              <w:right w:val="single" w:sz="4" w:space="0" w:color="auto"/>
            </w:tcBorders>
            <w:shd w:val="clear" w:color="auto" w:fill="auto"/>
            <w:noWrap/>
            <w:vAlign w:val="center"/>
            <w:hideMark/>
          </w:tcPr>
          <w:p w14:paraId="123175FC"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100,00</w:t>
            </w:r>
          </w:p>
        </w:tc>
        <w:tc>
          <w:tcPr>
            <w:tcW w:w="1320" w:type="dxa"/>
            <w:tcBorders>
              <w:top w:val="nil"/>
              <w:left w:val="nil"/>
              <w:bottom w:val="single" w:sz="4" w:space="0" w:color="auto"/>
              <w:right w:val="single" w:sz="4" w:space="0" w:color="auto"/>
            </w:tcBorders>
            <w:shd w:val="clear" w:color="auto" w:fill="auto"/>
            <w:noWrap/>
            <w:vAlign w:val="center"/>
            <w:hideMark/>
          </w:tcPr>
          <w:p w14:paraId="0E87F74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1126112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0,00</w:t>
            </w:r>
          </w:p>
        </w:tc>
      </w:tr>
      <w:tr w:rsidR="00065F90" w:rsidRPr="00553AEA" w14:paraId="5BDB94E6"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C90A1B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66423</w:t>
            </w:r>
          </w:p>
        </w:tc>
        <w:tc>
          <w:tcPr>
            <w:tcW w:w="4320" w:type="dxa"/>
            <w:tcBorders>
              <w:top w:val="nil"/>
              <w:left w:val="nil"/>
              <w:bottom w:val="single" w:sz="4" w:space="0" w:color="auto"/>
              <w:right w:val="single" w:sz="4" w:space="0" w:color="auto"/>
            </w:tcBorders>
            <w:shd w:val="clear" w:color="auto" w:fill="auto"/>
            <w:vAlign w:val="center"/>
            <w:hideMark/>
          </w:tcPr>
          <w:p w14:paraId="0397CC0F"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трошкови-систематски преглед запослених</w:t>
            </w:r>
          </w:p>
        </w:tc>
        <w:tc>
          <w:tcPr>
            <w:tcW w:w="1340" w:type="dxa"/>
            <w:tcBorders>
              <w:top w:val="nil"/>
              <w:left w:val="nil"/>
              <w:bottom w:val="single" w:sz="4" w:space="0" w:color="auto"/>
              <w:right w:val="single" w:sz="4" w:space="0" w:color="auto"/>
            </w:tcBorders>
            <w:shd w:val="clear" w:color="auto" w:fill="auto"/>
            <w:noWrap/>
            <w:vAlign w:val="center"/>
            <w:hideMark/>
          </w:tcPr>
          <w:p w14:paraId="717C1D4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5.500,00</w:t>
            </w:r>
          </w:p>
        </w:tc>
        <w:tc>
          <w:tcPr>
            <w:tcW w:w="1320" w:type="dxa"/>
            <w:tcBorders>
              <w:top w:val="nil"/>
              <w:left w:val="nil"/>
              <w:bottom w:val="single" w:sz="4" w:space="0" w:color="auto"/>
              <w:right w:val="single" w:sz="4" w:space="0" w:color="auto"/>
            </w:tcBorders>
            <w:shd w:val="clear" w:color="auto" w:fill="auto"/>
            <w:noWrap/>
            <w:vAlign w:val="center"/>
            <w:hideMark/>
          </w:tcPr>
          <w:p w14:paraId="417D52F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3.785,00</w:t>
            </w:r>
          </w:p>
        </w:tc>
        <w:tc>
          <w:tcPr>
            <w:tcW w:w="1080" w:type="dxa"/>
            <w:tcBorders>
              <w:top w:val="nil"/>
              <w:left w:val="nil"/>
              <w:bottom w:val="single" w:sz="4" w:space="0" w:color="auto"/>
              <w:right w:val="single" w:sz="4" w:space="0" w:color="auto"/>
            </w:tcBorders>
            <w:shd w:val="clear" w:color="auto" w:fill="auto"/>
            <w:noWrap/>
            <w:vAlign w:val="center"/>
            <w:hideMark/>
          </w:tcPr>
          <w:p w14:paraId="7FE3A91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68,82</w:t>
            </w:r>
          </w:p>
        </w:tc>
      </w:tr>
      <w:tr w:rsidR="00065F90" w:rsidRPr="00553AEA" w14:paraId="67429156"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1EC33F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66424</w:t>
            </w:r>
          </w:p>
        </w:tc>
        <w:tc>
          <w:tcPr>
            <w:tcW w:w="4320" w:type="dxa"/>
            <w:tcBorders>
              <w:top w:val="nil"/>
              <w:left w:val="nil"/>
              <w:bottom w:val="single" w:sz="4" w:space="0" w:color="auto"/>
              <w:right w:val="single" w:sz="4" w:space="0" w:color="auto"/>
            </w:tcBorders>
            <w:shd w:val="clear" w:color="auto" w:fill="auto"/>
            <w:vAlign w:val="center"/>
            <w:hideMark/>
          </w:tcPr>
          <w:p w14:paraId="2D92609A"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накнада за приступ ЦРК</w:t>
            </w:r>
          </w:p>
        </w:tc>
        <w:tc>
          <w:tcPr>
            <w:tcW w:w="1340" w:type="dxa"/>
            <w:tcBorders>
              <w:top w:val="nil"/>
              <w:left w:val="nil"/>
              <w:bottom w:val="single" w:sz="4" w:space="0" w:color="auto"/>
              <w:right w:val="single" w:sz="4" w:space="0" w:color="auto"/>
            </w:tcBorders>
            <w:shd w:val="clear" w:color="auto" w:fill="auto"/>
            <w:noWrap/>
            <w:vAlign w:val="center"/>
            <w:hideMark/>
          </w:tcPr>
          <w:p w14:paraId="6390AD90"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100,00</w:t>
            </w:r>
          </w:p>
        </w:tc>
        <w:tc>
          <w:tcPr>
            <w:tcW w:w="1320" w:type="dxa"/>
            <w:tcBorders>
              <w:top w:val="nil"/>
              <w:left w:val="nil"/>
              <w:bottom w:val="single" w:sz="4" w:space="0" w:color="auto"/>
              <w:right w:val="single" w:sz="4" w:space="0" w:color="auto"/>
            </w:tcBorders>
            <w:shd w:val="clear" w:color="auto" w:fill="auto"/>
            <w:noWrap/>
            <w:vAlign w:val="center"/>
            <w:hideMark/>
          </w:tcPr>
          <w:p w14:paraId="405F614D" w14:textId="77777777" w:rsidR="00065F90" w:rsidRPr="00553AEA" w:rsidRDefault="00065F90" w:rsidP="00065F90">
            <w:pPr>
              <w:jc w:val="right"/>
              <w:rPr>
                <w:rFonts w:ascii="Calibri" w:hAnsi="Calibri"/>
                <w:color w:val="auto"/>
                <w:sz w:val="22"/>
                <w:szCs w:val="22"/>
              </w:rPr>
            </w:pPr>
            <w:r w:rsidRPr="00553AEA">
              <w:rPr>
                <w:rFonts w:ascii="Calibri" w:hAnsi="Calibri"/>
                <w:color w:val="auto"/>
                <w:sz w:val="22"/>
                <w:szCs w:val="22"/>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2624A7B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0,00</w:t>
            </w:r>
          </w:p>
        </w:tc>
      </w:tr>
      <w:tr w:rsidR="00065F90" w:rsidRPr="00553AEA" w14:paraId="7A33B364"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FCE6E2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66425</w:t>
            </w:r>
          </w:p>
        </w:tc>
        <w:tc>
          <w:tcPr>
            <w:tcW w:w="4320" w:type="dxa"/>
            <w:tcBorders>
              <w:top w:val="nil"/>
              <w:left w:val="nil"/>
              <w:bottom w:val="single" w:sz="4" w:space="0" w:color="auto"/>
              <w:right w:val="single" w:sz="4" w:space="0" w:color="auto"/>
            </w:tcBorders>
            <w:shd w:val="clear" w:color="auto" w:fill="auto"/>
            <w:vAlign w:val="center"/>
            <w:hideMark/>
          </w:tcPr>
          <w:p w14:paraId="2D63B25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чланарина AECM</w:t>
            </w:r>
          </w:p>
        </w:tc>
        <w:tc>
          <w:tcPr>
            <w:tcW w:w="1340" w:type="dxa"/>
            <w:tcBorders>
              <w:top w:val="nil"/>
              <w:left w:val="nil"/>
              <w:bottom w:val="single" w:sz="4" w:space="0" w:color="auto"/>
              <w:right w:val="single" w:sz="4" w:space="0" w:color="auto"/>
            </w:tcBorders>
            <w:shd w:val="clear" w:color="auto" w:fill="auto"/>
            <w:noWrap/>
            <w:vAlign w:val="center"/>
            <w:hideMark/>
          </w:tcPr>
          <w:p w14:paraId="64BCAE75"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11.000,00</w:t>
            </w:r>
          </w:p>
        </w:tc>
        <w:tc>
          <w:tcPr>
            <w:tcW w:w="1320" w:type="dxa"/>
            <w:tcBorders>
              <w:top w:val="nil"/>
              <w:left w:val="nil"/>
              <w:bottom w:val="single" w:sz="4" w:space="0" w:color="auto"/>
              <w:right w:val="single" w:sz="4" w:space="0" w:color="auto"/>
            </w:tcBorders>
            <w:shd w:val="clear" w:color="auto" w:fill="auto"/>
            <w:noWrap/>
            <w:vAlign w:val="center"/>
            <w:hideMark/>
          </w:tcPr>
          <w:p w14:paraId="357DA0F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10.759,02</w:t>
            </w:r>
          </w:p>
        </w:tc>
        <w:tc>
          <w:tcPr>
            <w:tcW w:w="1080" w:type="dxa"/>
            <w:tcBorders>
              <w:top w:val="nil"/>
              <w:left w:val="nil"/>
              <w:bottom w:val="single" w:sz="4" w:space="0" w:color="auto"/>
              <w:right w:val="single" w:sz="4" w:space="0" w:color="auto"/>
            </w:tcBorders>
            <w:shd w:val="clear" w:color="auto" w:fill="auto"/>
            <w:noWrap/>
            <w:vAlign w:val="center"/>
            <w:hideMark/>
          </w:tcPr>
          <w:p w14:paraId="2F94CAC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97,81</w:t>
            </w:r>
          </w:p>
        </w:tc>
      </w:tr>
      <w:tr w:rsidR="00065F90" w:rsidRPr="00553AEA" w14:paraId="2185E5E4"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C75FCA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66436</w:t>
            </w:r>
          </w:p>
        </w:tc>
        <w:tc>
          <w:tcPr>
            <w:tcW w:w="4320" w:type="dxa"/>
            <w:tcBorders>
              <w:top w:val="nil"/>
              <w:left w:val="nil"/>
              <w:bottom w:val="single" w:sz="4" w:space="0" w:color="auto"/>
              <w:right w:val="single" w:sz="4" w:space="0" w:color="auto"/>
            </w:tcBorders>
            <w:shd w:val="clear" w:color="auto" w:fill="auto"/>
            <w:vAlign w:val="center"/>
            <w:hideMark/>
          </w:tcPr>
          <w:p w14:paraId="4569D60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чланарина Зелени навигатор</w:t>
            </w:r>
          </w:p>
        </w:tc>
        <w:tc>
          <w:tcPr>
            <w:tcW w:w="1340" w:type="dxa"/>
            <w:tcBorders>
              <w:top w:val="nil"/>
              <w:left w:val="nil"/>
              <w:bottom w:val="single" w:sz="4" w:space="0" w:color="auto"/>
              <w:right w:val="single" w:sz="4" w:space="0" w:color="auto"/>
            </w:tcBorders>
            <w:shd w:val="clear" w:color="auto" w:fill="auto"/>
            <w:noWrap/>
            <w:vAlign w:val="center"/>
            <w:hideMark/>
          </w:tcPr>
          <w:p w14:paraId="08458C97"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20.000,00</w:t>
            </w:r>
          </w:p>
        </w:tc>
        <w:tc>
          <w:tcPr>
            <w:tcW w:w="1320" w:type="dxa"/>
            <w:tcBorders>
              <w:top w:val="nil"/>
              <w:left w:val="nil"/>
              <w:bottom w:val="single" w:sz="4" w:space="0" w:color="auto"/>
              <w:right w:val="single" w:sz="4" w:space="0" w:color="auto"/>
            </w:tcBorders>
            <w:shd w:val="clear" w:color="auto" w:fill="auto"/>
            <w:noWrap/>
            <w:vAlign w:val="center"/>
            <w:hideMark/>
          </w:tcPr>
          <w:p w14:paraId="6F2F247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19.558,30</w:t>
            </w:r>
          </w:p>
        </w:tc>
        <w:tc>
          <w:tcPr>
            <w:tcW w:w="1080" w:type="dxa"/>
            <w:tcBorders>
              <w:top w:val="nil"/>
              <w:left w:val="nil"/>
              <w:bottom w:val="single" w:sz="4" w:space="0" w:color="auto"/>
              <w:right w:val="single" w:sz="4" w:space="0" w:color="auto"/>
            </w:tcBorders>
            <w:shd w:val="clear" w:color="auto" w:fill="auto"/>
            <w:noWrap/>
            <w:vAlign w:val="center"/>
            <w:hideMark/>
          </w:tcPr>
          <w:p w14:paraId="7E97D2FB"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97,79</w:t>
            </w:r>
          </w:p>
        </w:tc>
      </w:tr>
      <w:tr w:rsidR="00065F90" w:rsidRPr="00553AEA" w14:paraId="7163BA9E"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8D1154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66437</w:t>
            </w:r>
          </w:p>
        </w:tc>
        <w:tc>
          <w:tcPr>
            <w:tcW w:w="4320" w:type="dxa"/>
            <w:tcBorders>
              <w:top w:val="nil"/>
              <w:left w:val="nil"/>
              <w:bottom w:val="single" w:sz="4" w:space="0" w:color="auto"/>
              <w:right w:val="single" w:sz="4" w:space="0" w:color="auto"/>
            </w:tcBorders>
            <w:shd w:val="clear" w:color="auto" w:fill="auto"/>
            <w:vAlign w:val="center"/>
            <w:hideMark/>
          </w:tcPr>
          <w:p w14:paraId="782AEAA9"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Нематеријали трошкови - уништавање документације</w:t>
            </w:r>
          </w:p>
        </w:tc>
        <w:tc>
          <w:tcPr>
            <w:tcW w:w="1340" w:type="dxa"/>
            <w:tcBorders>
              <w:top w:val="nil"/>
              <w:left w:val="nil"/>
              <w:bottom w:val="single" w:sz="4" w:space="0" w:color="auto"/>
              <w:right w:val="single" w:sz="4" w:space="0" w:color="auto"/>
            </w:tcBorders>
            <w:shd w:val="clear" w:color="auto" w:fill="auto"/>
            <w:noWrap/>
            <w:vAlign w:val="center"/>
            <w:hideMark/>
          </w:tcPr>
          <w:p w14:paraId="21793E5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300,00</w:t>
            </w:r>
          </w:p>
        </w:tc>
        <w:tc>
          <w:tcPr>
            <w:tcW w:w="1320" w:type="dxa"/>
            <w:tcBorders>
              <w:top w:val="nil"/>
              <w:left w:val="nil"/>
              <w:bottom w:val="single" w:sz="4" w:space="0" w:color="auto"/>
              <w:right w:val="single" w:sz="4" w:space="0" w:color="auto"/>
            </w:tcBorders>
            <w:shd w:val="clear" w:color="auto" w:fill="auto"/>
            <w:noWrap/>
            <w:vAlign w:val="center"/>
            <w:hideMark/>
          </w:tcPr>
          <w:p w14:paraId="435A886C" w14:textId="77777777" w:rsidR="00065F90" w:rsidRPr="00553AEA" w:rsidRDefault="00065F90" w:rsidP="00065F90">
            <w:pPr>
              <w:jc w:val="right"/>
              <w:rPr>
                <w:rFonts w:ascii="Calibri" w:hAnsi="Calibri"/>
                <w:color w:val="FF0000"/>
                <w:sz w:val="20"/>
                <w:szCs w:val="20"/>
              </w:rPr>
            </w:pPr>
            <w:r w:rsidRPr="00553AEA">
              <w:rPr>
                <w:rFonts w:ascii="Calibri" w:hAnsi="Calibri"/>
                <w:color w:val="FF0000"/>
                <w:sz w:val="20"/>
                <w:szCs w:val="20"/>
                <w:lang w:val="sr-Latn-RS"/>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305CC6"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0,00</w:t>
            </w:r>
          </w:p>
        </w:tc>
      </w:tr>
      <w:tr w:rsidR="00065F90" w:rsidRPr="00553AEA" w14:paraId="28396075"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9FB436D" w14:textId="77777777" w:rsidR="00065F90" w:rsidRPr="00553AEA" w:rsidRDefault="00065F90" w:rsidP="00065F90">
            <w:pPr>
              <w:jc w:val="center"/>
              <w:rPr>
                <w:rFonts w:ascii="Calibri" w:hAnsi="Calibri"/>
                <w:color w:val="auto"/>
                <w:sz w:val="20"/>
                <w:szCs w:val="20"/>
              </w:rPr>
            </w:pPr>
            <w:r w:rsidRPr="00553AEA">
              <w:rPr>
                <w:rFonts w:ascii="Calibri" w:hAnsi="Calibri"/>
                <w:color w:val="auto"/>
                <w:sz w:val="20"/>
                <w:szCs w:val="20"/>
                <w:lang w:val="sr-Latn-RS"/>
              </w:rPr>
              <w:t>66427</w:t>
            </w:r>
          </w:p>
        </w:tc>
        <w:tc>
          <w:tcPr>
            <w:tcW w:w="4320" w:type="dxa"/>
            <w:tcBorders>
              <w:top w:val="nil"/>
              <w:left w:val="nil"/>
              <w:bottom w:val="single" w:sz="4" w:space="0" w:color="auto"/>
              <w:right w:val="single" w:sz="4" w:space="0" w:color="auto"/>
            </w:tcBorders>
            <w:shd w:val="clear" w:color="auto" w:fill="auto"/>
            <w:vAlign w:val="center"/>
            <w:hideMark/>
          </w:tcPr>
          <w:p w14:paraId="57567919"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Latn-RS"/>
              </w:rPr>
              <w:t>Нематеријални трошкови -АПИФ</w:t>
            </w:r>
          </w:p>
        </w:tc>
        <w:tc>
          <w:tcPr>
            <w:tcW w:w="1340" w:type="dxa"/>
            <w:tcBorders>
              <w:top w:val="nil"/>
              <w:left w:val="nil"/>
              <w:bottom w:val="single" w:sz="4" w:space="0" w:color="auto"/>
              <w:right w:val="single" w:sz="4" w:space="0" w:color="auto"/>
            </w:tcBorders>
            <w:shd w:val="clear" w:color="auto" w:fill="auto"/>
            <w:noWrap/>
            <w:vAlign w:val="center"/>
            <w:hideMark/>
          </w:tcPr>
          <w:p w14:paraId="2B709F6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180,00</w:t>
            </w:r>
          </w:p>
        </w:tc>
        <w:tc>
          <w:tcPr>
            <w:tcW w:w="1320" w:type="dxa"/>
            <w:tcBorders>
              <w:top w:val="nil"/>
              <w:left w:val="nil"/>
              <w:bottom w:val="single" w:sz="4" w:space="0" w:color="auto"/>
              <w:right w:val="single" w:sz="4" w:space="0" w:color="auto"/>
            </w:tcBorders>
            <w:shd w:val="clear" w:color="auto" w:fill="auto"/>
            <w:noWrap/>
            <w:vAlign w:val="center"/>
            <w:hideMark/>
          </w:tcPr>
          <w:p w14:paraId="1A9F2A4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403,65</w:t>
            </w:r>
          </w:p>
        </w:tc>
        <w:tc>
          <w:tcPr>
            <w:tcW w:w="1080" w:type="dxa"/>
            <w:tcBorders>
              <w:top w:val="nil"/>
              <w:left w:val="nil"/>
              <w:bottom w:val="single" w:sz="4" w:space="0" w:color="auto"/>
              <w:right w:val="single" w:sz="4" w:space="0" w:color="auto"/>
            </w:tcBorders>
            <w:shd w:val="clear" w:color="auto" w:fill="auto"/>
            <w:noWrap/>
            <w:vAlign w:val="center"/>
            <w:hideMark/>
          </w:tcPr>
          <w:p w14:paraId="672597B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224,25</w:t>
            </w:r>
          </w:p>
        </w:tc>
      </w:tr>
      <w:tr w:rsidR="00065F90" w:rsidRPr="00553AEA" w14:paraId="7188DBAE"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C36255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66430</w:t>
            </w:r>
          </w:p>
        </w:tc>
        <w:tc>
          <w:tcPr>
            <w:tcW w:w="4320" w:type="dxa"/>
            <w:tcBorders>
              <w:top w:val="nil"/>
              <w:left w:val="nil"/>
              <w:bottom w:val="single" w:sz="4" w:space="0" w:color="auto"/>
              <w:right w:val="single" w:sz="4" w:space="0" w:color="auto"/>
            </w:tcBorders>
            <w:shd w:val="clear" w:color="auto" w:fill="auto"/>
            <w:vAlign w:val="center"/>
            <w:hideMark/>
          </w:tcPr>
          <w:p w14:paraId="04438DB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 конференцијски и округли столови  ГФ по протоколу</w:t>
            </w:r>
          </w:p>
        </w:tc>
        <w:tc>
          <w:tcPr>
            <w:tcW w:w="1340" w:type="dxa"/>
            <w:tcBorders>
              <w:top w:val="nil"/>
              <w:left w:val="nil"/>
              <w:bottom w:val="single" w:sz="4" w:space="0" w:color="auto"/>
              <w:right w:val="single" w:sz="4" w:space="0" w:color="auto"/>
            </w:tcBorders>
            <w:shd w:val="clear" w:color="auto" w:fill="auto"/>
            <w:noWrap/>
            <w:vAlign w:val="center"/>
            <w:hideMark/>
          </w:tcPr>
          <w:p w14:paraId="2E9F884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4.500,00</w:t>
            </w:r>
          </w:p>
        </w:tc>
        <w:tc>
          <w:tcPr>
            <w:tcW w:w="1320" w:type="dxa"/>
            <w:tcBorders>
              <w:top w:val="nil"/>
              <w:left w:val="nil"/>
              <w:bottom w:val="single" w:sz="4" w:space="0" w:color="auto"/>
              <w:right w:val="single" w:sz="4" w:space="0" w:color="auto"/>
            </w:tcBorders>
            <w:shd w:val="clear" w:color="auto" w:fill="auto"/>
            <w:noWrap/>
            <w:vAlign w:val="center"/>
            <w:hideMark/>
          </w:tcPr>
          <w:p w14:paraId="393C08D9"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1.651,80</w:t>
            </w:r>
          </w:p>
        </w:tc>
        <w:tc>
          <w:tcPr>
            <w:tcW w:w="1080" w:type="dxa"/>
            <w:tcBorders>
              <w:top w:val="nil"/>
              <w:left w:val="nil"/>
              <w:bottom w:val="single" w:sz="4" w:space="0" w:color="auto"/>
              <w:right w:val="single" w:sz="4" w:space="0" w:color="auto"/>
            </w:tcBorders>
            <w:shd w:val="clear" w:color="auto" w:fill="auto"/>
            <w:noWrap/>
            <w:vAlign w:val="center"/>
            <w:hideMark/>
          </w:tcPr>
          <w:p w14:paraId="4F2C4CBD"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319B52E5"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A60871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6643</w:t>
            </w:r>
          </w:p>
        </w:tc>
        <w:tc>
          <w:tcPr>
            <w:tcW w:w="4320" w:type="dxa"/>
            <w:tcBorders>
              <w:top w:val="nil"/>
              <w:left w:val="nil"/>
              <w:bottom w:val="single" w:sz="4" w:space="0" w:color="auto"/>
              <w:right w:val="single" w:sz="4" w:space="0" w:color="auto"/>
            </w:tcBorders>
            <w:shd w:val="clear" w:color="auto" w:fill="auto"/>
            <w:vAlign w:val="center"/>
            <w:hideMark/>
          </w:tcPr>
          <w:p w14:paraId="542A5D88"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премије осигурања радника</w:t>
            </w:r>
          </w:p>
        </w:tc>
        <w:tc>
          <w:tcPr>
            <w:tcW w:w="1340" w:type="dxa"/>
            <w:tcBorders>
              <w:top w:val="nil"/>
              <w:left w:val="nil"/>
              <w:bottom w:val="single" w:sz="4" w:space="0" w:color="auto"/>
              <w:right w:val="single" w:sz="4" w:space="0" w:color="auto"/>
            </w:tcBorders>
            <w:shd w:val="clear" w:color="auto" w:fill="auto"/>
            <w:noWrap/>
            <w:vAlign w:val="center"/>
            <w:hideMark/>
          </w:tcPr>
          <w:p w14:paraId="785319B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900,00</w:t>
            </w:r>
          </w:p>
        </w:tc>
        <w:tc>
          <w:tcPr>
            <w:tcW w:w="1320" w:type="dxa"/>
            <w:tcBorders>
              <w:top w:val="nil"/>
              <w:left w:val="nil"/>
              <w:bottom w:val="single" w:sz="4" w:space="0" w:color="auto"/>
              <w:right w:val="single" w:sz="4" w:space="0" w:color="auto"/>
            </w:tcBorders>
            <w:shd w:val="clear" w:color="auto" w:fill="auto"/>
            <w:noWrap/>
            <w:vAlign w:val="center"/>
            <w:hideMark/>
          </w:tcPr>
          <w:p w14:paraId="270FB17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1.084,00</w:t>
            </w:r>
          </w:p>
        </w:tc>
        <w:tc>
          <w:tcPr>
            <w:tcW w:w="1080" w:type="dxa"/>
            <w:tcBorders>
              <w:top w:val="nil"/>
              <w:left w:val="nil"/>
              <w:bottom w:val="single" w:sz="4" w:space="0" w:color="auto"/>
              <w:right w:val="single" w:sz="4" w:space="0" w:color="auto"/>
            </w:tcBorders>
            <w:shd w:val="clear" w:color="auto" w:fill="auto"/>
            <w:noWrap/>
            <w:vAlign w:val="center"/>
            <w:hideMark/>
          </w:tcPr>
          <w:p w14:paraId="20171C0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120,44</w:t>
            </w:r>
          </w:p>
        </w:tc>
      </w:tr>
      <w:tr w:rsidR="00065F90" w:rsidRPr="00553AEA" w14:paraId="1C9BB8E1"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EC7FBE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66432</w:t>
            </w:r>
          </w:p>
        </w:tc>
        <w:tc>
          <w:tcPr>
            <w:tcW w:w="4320" w:type="dxa"/>
            <w:tcBorders>
              <w:top w:val="nil"/>
              <w:left w:val="nil"/>
              <w:bottom w:val="single" w:sz="4" w:space="0" w:color="auto"/>
              <w:right w:val="single" w:sz="4" w:space="0" w:color="auto"/>
            </w:tcBorders>
            <w:shd w:val="clear" w:color="auto" w:fill="auto"/>
            <w:vAlign w:val="center"/>
            <w:hideMark/>
          </w:tcPr>
          <w:p w14:paraId="491879AE"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Нематеријални трошкови- адвокатске услуге</w:t>
            </w:r>
          </w:p>
        </w:tc>
        <w:tc>
          <w:tcPr>
            <w:tcW w:w="1340" w:type="dxa"/>
            <w:tcBorders>
              <w:top w:val="nil"/>
              <w:left w:val="nil"/>
              <w:bottom w:val="single" w:sz="4" w:space="0" w:color="auto"/>
              <w:right w:val="single" w:sz="4" w:space="0" w:color="auto"/>
            </w:tcBorders>
            <w:shd w:val="clear" w:color="auto" w:fill="auto"/>
            <w:noWrap/>
            <w:vAlign w:val="center"/>
            <w:hideMark/>
          </w:tcPr>
          <w:p w14:paraId="4B00E61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21.000,00</w:t>
            </w:r>
          </w:p>
        </w:tc>
        <w:tc>
          <w:tcPr>
            <w:tcW w:w="1320" w:type="dxa"/>
            <w:tcBorders>
              <w:top w:val="nil"/>
              <w:left w:val="nil"/>
              <w:bottom w:val="single" w:sz="4" w:space="0" w:color="auto"/>
              <w:right w:val="single" w:sz="4" w:space="0" w:color="auto"/>
            </w:tcBorders>
            <w:shd w:val="clear" w:color="auto" w:fill="auto"/>
            <w:noWrap/>
            <w:vAlign w:val="center"/>
            <w:hideMark/>
          </w:tcPr>
          <w:p w14:paraId="7C881768"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88.669,78</w:t>
            </w:r>
          </w:p>
        </w:tc>
        <w:tc>
          <w:tcPr>
            <w:tcW w:w="1080" w:type="dxa"/>
            <w:tcBorders>
              <w:top w:val="nil"/>
              <w:left w:val="nil"/>
              <w:bottom w:val="single" w:sz="4" w:space="0" w:color="auto"/>
              <w:right w:val="single" w:sz="4" w:space="0" w:color="auto"/>
            </w:tcBorders>
            <w:shd w:val="clear" w:color="auto" w:fill="auto"/>
            <w:noWrap/>
            <w:vAlign w:val="center"/>
            <w:hideMark/>
          </w:tcPr>
          <w:p w14:paraId="0BF6F82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422,24</w:t>
            </w:r>
          </w:p>
        </w:tc>
      </w:tr>
      <w:tr w:rsidR="00065F90" w:rsidRPr="00553AEA" w14:paraId="04882EBA"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D10641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6644</w:t>
            </w:r>
          </w:p>
        </w:tc>
        <w:tc>
          <w:tcPr>
            <w:tcW w:w="4320" w:type="dxa"/>
            <w:tcBorders>
              <w:top w:val="nil"/>
              <w:left w:val="nil"/>
              <w:bottom w:val="single" w:sz="4" w:space="0" w:color="auto"/>
              <w:right w:val="single" w:sz="4" w:space="0" w:color="auto"/>
            </w:tcBorders>
            <w:shd w:val="clear" w:color="auto" w:fill="auto"/>
            <w:vAlign w:val="center"/>
            <w:hideMark/>
          </w:tcPr>
          <w:p w14:paraId="18DD4DE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ПТТ услуга у земљи</w:t>
            </w:r>
          </w:p>
        </w:tc>
        <w:tc>
          <w:tcPr>
            <w:tcW w:w="1340" w:type="dxa"/>
            <w:tcBorders>
              <w:top w:val="nil"/>
              <w:left w:val="nil"/>
              <w:bottom w:val="single" w:sz="4" w:space="0" w:color="auto"/>
              <w:right w:val="single" w:sz="4" w:space="0" w:color="auto"/>
            </w:tcBorders>
            <w:shd w:val="clear" w:color="auto" w:fill="auto"/>
            <w:noWrap/>
            <w:vAlign w:val="center"/>
            <w:hideMark/>
          </w:tcPr>
          <w:p w14:paraId="7D01840E"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14.000,00</w:t>
            </w:r>
          </w:p>
        </w:tc>
        <w:tc>
          <w:tcPr>
            <w:tcW w:w="1320" w:type="dxa"/>
            <w:tcBorders>
              <w:top w:val="nil"/>
              <w:left w:val="nil"/>
              <w:bottom w:val="single" w:sz="4" w:space="0" w:color="auto"/>
              <w:right w:val="single" w:sz="4" w:space="0" w:color="auto"/>
            </w:tcBorders>
            <w:shd w:val="clear" w:color="auto" w:fill="auto"/>
            <w:noWrap/>
            <w:vAlign w:val="center"/>
            <w:hideMark/>
          </w:tcPr>
          <w:p w14:paraId="3E340CB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14.102,36</w:t>
            </w:r>
          </w:p>
        </w:tc>
        <w:tc>
          <w:tcPr>
            <w:tcW w:w="1080" w:type="dxa"/>
            <w:tcBorders>
              <w:top w:val="nil"/>
              <w:left w:val="nil"/>
              <w:bottom w:val="single" w:sz="4" w:space="0" w:color="auto"/>
              <w:right w:val="single" w:sz="4" w:space="0" w:color="auto"/>
            </w:tcBorders>
            <w:shd w:val="clear" w:color="auto" w:fill="auto"/>
            <w:noWrap/>
            <w:vAlign w:val="center"/>
            <w:hideMark/>
          </w:tcPr>
          <w:p w14:paraId="6DD7A2A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100,73</w:t>
            </w:r>
          </w:p>
        </w:tc>
      </w:tr>
      <w:tr w:rsidR="00065F90" w:rsidRPr="00553AEA" w14:paraId="2C4534B9"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7753676" w14:textId="77777777" w:rsidR="00065F90" w:rsidRPr="00553AEA" w:rsidRDefault="00065F90" w:rsidP="00065F90">
            <w:pPr>
              <w:jc w:val="center"/>
              <w:rPr>
                <w:rFonts w:ascii="Calibri" w:hAnsi="Calibri"/>
                <w:color w:val="auto"/>
                <w:sz w:val="20"/>
                <w:szCs w:val="20"/>
              </w:rPr>
            </w:pPr>
            <w:r w:rsidRPr="00553AEA">
              <w:rPr>
                <w:rFonts w:ascii="Calibri" w:hAnsi="Calibri"/>
                <w:color w:val="auto"/>
                <w:sz w:val="20"/>
                <w:szCs w:val="20"/>
                <w:lang w:val="sr-Latn-RS"/>
              </w:rPr>
              <w:t>66445</w:t>
            </w:r>
          </w:p>
        </w:tc>
        <w:tc>
          <w:tcPr>
            <w:tcW w:w="4320" w:type="dxa"/>
            <w:tcBorders>
              <w:top w:val="nil"/>
              <w:left w:val="nil"/>
              <w:bottom w:val="single" w:sz="4" w:space="0" w:color="auto"/>
              <w:right w:val="single" w:sz="4" w:space="0" w:color="auto"/>
            </w:tcBorders>
            <w:shd w:val="clear" w:color="auto" w:fill="auto"/>
            <w:vAlign w:val="center"/>
            <w:hideMark/>
          </w:tcPr>
          <w:p w14:paraId="66B7431A"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Latn-RS"/>
              </w:rPr>
              <w:t>Трошкови поклона</w:t>
            </w:r>
          </w:p>
        </w:tc>
        <w:tc>
          <w:tcPr>
            <w:tcW w:w="1340" w:type="dxa"/>
            <w:tcBorders>
              <w:top w:val="nil"/>
              <w:left w:val="nil"/>
              <w:bottom w:val="single" w:sz="4" w:space="0" w:color="auto"/>
              <w:right w:val="single" w:sz="4" w:space="0" w:color="auto"/>
            </w:tcBorders>
            <w:shd w:val="clear" w:color="auto" w:fill="auto"/>
            <w:noWrap/>
            <w:vAlign w:val="center"/>
            <w:hideMark/>
          </w:tcPr>
          <w:p w14:paraId="1F962E9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2.300,00</w:t>
            </w:r>
          </w:p>
        </w:tc>
        <w:tc>
          <w:tcPr>
            <w:tcW w:w="1320" w:type="dxa"/>
            <w:tcBorders>
              <w:top w:val="nil"/>
              <w:left w:val="nil"/>
              <w:bottom w:val="single" w:sz="4" w:space="0" w:color="auto"/>
              <w:right w:val="single" w:sz="4" w:space="0" w:color="auto"/>
            </w:tcBorders>
            <w:shd w:val="clear" w:color="auto" w:fill="auto"/>
            <w:noWrap/>
            <w:vAlign w:val="center"/>
            <w:hideMark/>
          </w:tcPr>
          <w:p w14:paraId="5F85164A"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781,83</w:t>
            </w:r>
          </w:p>
        </w:tc>
        <w:tc>
          <w:tcPr>
            <w:tcW w:w="1080" w:type="dxa"/>
            <w:tcBorders>
              <w:top w:val="nil"/>
              <w:left w:val="nil"/>
              <w:bottom w:val="single" w:sz="4" w:space="0" w:color="auto"/>
              <w:right w:val="single" w:sz="4" w:space="0" w:color="auto"/>
            </w:tcBorders>
            <w:shd w:val="clear" w:color="auto" w:fill="auto"/>
            <w:noWrap/>
            <w:vAlign w:val="center"/>
            <w:hideMark/>
          </w:tcPr>
          <w:p w14:paraId="0FB4F5C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33,99</w:t>
            </w:r>
          </w:p>
        </w:tc>
      </w:tr>
      <w:tr w:rsidR="009634B9" w:rsidRPr="00553AEA" w14:paraId="661D4583" w14:textId="77777777" w:rsidTr="009634B9">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2F704427" w14:textId="77777777" w:rsidR="009634B9" w:rsidRPr="00553AEA" w:rsidRDefault="009634B9" w:rsidP="00A642CC">
            <w:pPr>
              <w:jc w:val="center"/>
              <w:rPr>
                <w:rFonts w:ascii="Calibri" w:hAnsi="Calibri"/>
                <w:b/>
                <w:bCs/>
                <w:sz w:val="20"/>
                <w:szCs w:val="20"/>
              </w:rPr>
            </w:pPr>
            <w:r w:rsidRPr="00553AEA">
              <w:rPr>
                <w:rFonts w:ascii="Calibri" w:hAnsi="Calibri"/>
                <w:b/>
                <w:bCs/>
                <w:sz w:val="20"/>
                <w:szCs w:val="20"/>
                <w:lang w:val="sr-Latn-RS"/>
              </w:rPr>
              <w:t>Конто</w:t>
            </w:r>
          </w:p>
        </w:tc>
        <w:tc>
          <w:tcPr>
            <w:tcW w:w="4320" w:type="dxa"/>
            <w:tcBorders>
              <w:top w:val="single" w:sz="8" w:space="0" w:color="auto"/>
              <w:left w:val="nil"/>
              <w:bottom w:val="nil"/>
              <w:right w:val="single" w:sz="8" w:space="0" w:color="auto"/>
            </w:tcBorders>
            <w:shd w:val="clear" w:color="000000" w:fill="8DB4E2"/>
            <w:vAlign w:val="center"/>
            <w:hideMark/>
          </w:tcPr>
          <w:p w14:paraId="00F347F7" w14:textId="77777777" w:rsidR="009634B9" w:rsidRPr="00553AEA" w:rsidRDefault="009634B9" w:rsidP="00A642CC">
            <w:pPr>
              <w:jc w:val="center"/>
              <w:rPr>
                <w:rFonts w:ascii="Calibri" w:hAnsi="Calibri"/>
                <w:b/>
                <w:bCs/>
                <w:sz w:val="20"/>
                <w:szCs w:val="20"/>
              </w:rPr>
            </w:pPr>
            <w:r w:rsidRPr="00553AEA">
              <w:rPr>
                <w:rFonts w:ascii="Calibri" w:hAnsi="Calibri"/>
                <w:b/>
                <w:bCs/>
                <w:sz w:val="20"/>
                <w:szCs w:val="20"/>
                <w:lang w:val="sr-Latn-RS"/>
              </w:rPr>
              <w:t>Назив</w:t>
            </w:r>
          </w:p>
        </w:tc>
        <w:tc>
          <w:tcPr>
            <w:tcW w:w="1340" w:type="dxa"/>
            <w:tcBorders>
              <w:top w:val="single" w:sz="8" w:space="0" w:color="auto"/>
              <w:left w:val="nil"/>
              <w:bottom w:val="nil"/>
              <w:right w:val="single" w:sz="8" w:space="0" w:color="auto"/>
            </w:tcBorders>
            <w:shd w:val="clear" w:color="000000" w:fill="8DB4E2"/>
            <w:vAlign w:val="center"/>
            <w:hideMark/>
          </w:tcPr>
          <w:p w14:paraId="101C8043" w14:textId="77777777" w:rsidR="009634B9" w:rsidRPr="00553AEA" w:rsidRDefault="009634B9" w:rsidP="00A642CC">
            <w:pPr>
              <w:jc w:val="center"/>
              <w:rPr>
                <w:rFonts w:ascii="Calibri" w:hAnsi="Calibri"/>
                <w:b/>
                <w:bCs/>
                <w:sz w:val="20"/>
                <w:szCs w:val="20"/>
              </w:rPr>
            </w:pPr>
            <w:r w:rsidRPr="00553AEA">
              <w:rPr>
                <w:rFonts w:ascii="Calibri" w:hAnsi="Calibri"/>
                <w:b/>
                <w:bCs/>
                <w:sz w:val="20"/>
                <w:szCs w:val="20"/>
                <w:lang w:val="sr-Latn-RS"/>
              </w:rPr>
              <w:t>Планирано у 2023. години</w:t>
            </w:r>
          </w:p>
        </w:tc>
        <w:tc>
          <w:tcPr>
            <w:tcW w:w="1320" w:type="dxa"/>
            <w:tcBorders>
              <w:top w:val="single" w:sz="8" w:space="0" w:color="auto"/>
              <w:left w:val="nil"/>
              <w:bottom w:val="nil"/>
              <w:right w:val="single" w:sz="8" w:space="0" w:color="auto"/>
            </w:tcBorders>
            <w:shd w:val="clear" w:color="000000" w:fill="8DB4E2"/>
            <w:vAlign w:val="center"/>
            <w:hideMark/>
          </w:tcPr>
          <w:p w14:paraId="3071404A" w14:textId="77777777" w:rsidR="009634B9" w:rsidRPr="00553AEA" w:rsidRDefault="009634B9" w:rsidP="00A642CC">
            <w:pPr>
              <w:jc w:val="center"/>
              <w:rPr>
                <w:rFonts w:ascii="Calibri" w:hAnsi="Calibri"/>
                <w:b/>
                <w:bCs/>
                <w:sz w:val="20"/>
                <w:szCs w:val="20"/>
              </w:rPr>
            </w:pPr>
            <w:r w:rsidRPr="00553AEA">
              <w:rPr>
                <w:rFonts w:ascii="Calibri" w:hAnsi="Calibri"/>
                <w:b/>
                <w:bCs/>
                <w:sz w:val="20"/>
                <w:szCs w:val="20"/>
                <w:lang w:val="sr-Latn-RS"/>
              </w:rPr>
              <w:t>Остварено у 2023. години</w:t>
            </w:r>
          </w:p>
        </w:tc>
        <w:tc>
          <w:tcPr>
            <w:tcW w:w="1080" w:type="dxa"/>
            <w:tcBorders>
              <w:top w:val="single" w:sz="8" w:space="0" w:color="auto"/>
              <w:left w:val="nil"/>
              <w:bottom w:val="nil"/>
              <w:right w:val="single" w:sz="8" w:space="0" w:color="auto"/>
            </w:tcBorders>
            <w:shd w:val="clear" w:color="000000" w:fill="8DB4E2"/>
            <w:noWrap/>
            <w:vAlign w:val="center"/>
            <w:hideMark/>
          </w:tcPr>
          <w:p w14:paraId="03BC33D6" w14:textId="77777777" w:rsidR="009634B9" w:rsidRPr="00553AEA" w:rsidRDefault="009634B9" w:rsidP="00A642CC">
            <w:pPr>
              <w:jc w:val="center"/>
              <w:rPr>
                <w:rFonts w:ascii="Calibri" w:hAnsi="Calibri"/>
                <w:b/>
                <w:sz w:val="20"/>
                <w:szCs w:val="20"/>
              </w:rPr>
            </w:pPr>
            <w:r w:rsidRPr="00553AEA">
              <w:rPr>
                <w:rFonts w:ascii="Calibri" w:hAnsi="Calibri"/>
                <w:b/>
                <w:sz w:val="20"/>
                <w:szCs w:val="20"/>
                <w:lang w:val="sr-Latn-RS"/>
              </w:rPr>
              <w:t>Индекс</w:t>
            </w:r>
          </w:p>
        </w:tc>
      </w:tr>
      <w:tr w:rsidR="00065F90" w:rsidRPr="00553AEA" w14:paraId="0D4CF8C3"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60472D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6645</w:t>
            </w:r>
          </w:p>
        </w:tc>
        <w:tc>
          <w:tcPr>
            <w:tcW w:w="4320" w:type="dxa"/>
            <w:tcBorders>
              <w:top w:val="nil"/>
              <w:left w:val="nil"/>
              <w:bottom w:val="single" w:sz="4" w:space="0" w:color="auto"/>
              <w:right w:val="single" w:sz="4" w:space="0" w:color="auto"/>
            </w:tcBorders>
            <w:shd w:val="clear" w:color="auto" w:fill="auto"/>
            <w:vAlign w:val="center"/>
            <w:hideMark/>
          </w:tcPr>
          <w:p w14:paraId="23B6E04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семинара</w:t>
            </w:r>
          </w:p>
        </w:tc>
        <w:tc>
          <w:tcPr>
            <w:tcW w:w="1340" w:type="dxa"/>
            <w:tcBorders>
              <w:top w:val="nil"/>
              <w:left w:val="nil"/>
              <w:bottom w:val="single" w:sz="4" w:space="0" w:color="auto"/>
              <w:right w:val="single" w:sz="4" w:space="0" w:color="auto"/>
            </w:tcBorders>
            <w:shd w:val="clear" w:color="auto" w:fill="auto"/>
            <w:noWrap/>
            <w:vAlign w:val="center"/>
            <w:hideMark/>
          </w:tcPr>
          <w:p w14:paraId="39C6B792"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7.000,00</w:t>
            </w:r>
          </w:p>
        </w:tc>
        <w:tc>
          <w:tcPr>
            <w:tcW w:w="1320" w:type="dxa"/>
            <w:tcBorders>
              <w:top w:val="nil"/>
              <w:left w:val="nil"/>
              <w:bottom w:val="single" w:sz="4" w:space="0" w:color="auto"/>
              <w:right w:val="single" w:sz="4" w:space="0" w:color="auto"/>
            </w:tcBorders>
            <w:shd w:val="clear" w:color="auto" w:fill="auto"/>
            <w:noWrap/>
            <w:vAlign w:val="center"/>
            <w:hideMark/>
          </w:tcPr>
          <w:p w14:paraId="177D2339"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8.678,43</w:t>
            </w:r>
          </w:p>
        </w:tc>
        <w:tc>
          <w:tcPr>
            <w:tcW w:w="1080" w:type="dxa"/>
            <w:tcBorders>
              <w:top w:val="nil"/>
              <w:left w:val="nil"/>
              <w:bottom w:val="single" w:sz="4" w:space="0" w:color="auto"/>
              <w:right w:val="single" w:sz="4" w:space="0" w:color="auto"/>
            </w:tcBorders>
            <w:shd w:val="clear" w:color="auto" w:fill="auto"/>
            <w:noWrap/>
            <w:vAlign w:val="center"/>
            <w:hideMark/>
          </w:tcPr>
          <w:p w14:paraId="36BD0A9D"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123,98</w:t>
            </w:r>
          </w:p>
        </w:tc>
      </w:tr>
      <w:tr w:rsidR="00065F90" w:rsidRPr="00553AEA" w14:paraId="26014A72"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4AFC42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6647</w:t>
            </w:r>
          </w:p>
        </w:tc>
        <w:tc>
          <w:tcPr>
            <w:tcW w:w="4320" w:type="dxa"/>
            <w:tcBorders>
              <w:top w:val="nil"/>
              <w:left w:val="nil"/>
              <w:bottom w:val="single" w:sz="4" w:space="0" w:color="auto"/>
              <w:right w:val="single" w:sz="4" w:space="0" w:color="auto"/>
            </w:tcBorders>
            <w:shd w:val="clear" w:color="auto" w:fill="auto"/>
            <w:vAlign w:val="center"/>
            <w:hideMark/>
          </w:tcPr>
          <w:p w14:paraId="06058B8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платног промета - у домаћој валути</w:t>
            </w:r>
          </w:p>
        </w:tc>
        <w:tc>
          <w:tcPr>
            <w:tcW w:w="1340" w:type="dxa"/>
            <w:tcBorders>
              <w:top w:val="nil"/>
              <w:left w:val="nil"/>
              <w:bottom w:val="single" w:sz="4" w:space="0" w:color="auto"/>
              <w:right w:val="single" w:sz="4" w:space="0" w:color="auto"/>
            </w:tcBorders>
            <w:shd w:val="clear" w:color="auto" w:fill="auto"/>
            <w:noWrap/>
            <w:vAlign w:val="center"/>
            <w:hideMark/>
          </w:tcPr>
          <w:p w14:paraId="1DC66EB8"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4.000,00</w:t>
            </w:r>
          </w:p>
        </w:tc>
        <w:tc>
          <w:tcPr>
            <w:tcW w:w="1320" w:type="dxa"/>
            <w:tcBorders>
              <w:top w:val="nil"/>
              <w:left w:val="nil"/>
              <w:bottom w:val="single" w:sz="4" w:space="0" w:color="auto"/>
              <w:right w:val="single" w:sz="4" w:space="0" w:color="auto"/>
            </w:tcBorders>
            <w:shd w:val="clear" w:color="auto" w:fill="auto"/>
            <w:noWrap/>
            <w:vAlign w:val="center"/>
            <w:hideMark/>
          </w:tcPr>
          <w:p w14:paraId="609256E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691D598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0,00</w:t>
            </w:r>
          </w:p>
        </w:tc>
      </w:tr>
      <w:tr w:rsidR="00065F90" w:rsidRPr="00553AEA" w14:paraId="3C3C8E39"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A91B13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6648</w:t>
            </w:r>
          </w:p>
        </w:tc>
        <w:tc>
          <w:tcPr>
            <w:tcW w:w="4320" w:type="dxa"/>
            <w:tcBorders>
              <w:top w:val="nil"/>
              <w:left w:val="nil"/>
              <w:bottom w:val="single" w:sz="4" w:space="0" w:color="auto"/>
              <w:right w:val="single" w:sz="4" w:space="0" w:color="auto"/>
            </w:tcBorders>
            <w:shd w:val="clear" w:color="auto" w:fill="auto"/>
            <w:vAlign w:val="center"/>
            <w:hideMark/>
          </w:tcPr>
          <w:p w14:paraId="624733A3"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ПТТ услуга преносне пошиљке</w:t>
            </w:r>
          </w:p>
        </w:tc>
        <w:tc>
          <w:tcPr>
            <w:tcW w:w="1340" w:type="dxa"/>
            <w:tcBorders>
              <w:top w:val="nil"/>
              <w:left w:val="nil"/>
              <w:bottom w:val="single" w:sz="4" w:space="0" w:color="auto"/>
              <w:right w:val="single" w:sz="4" w:space="0" w:color="auto"/>
            </w:tcBorders>
            <w:shd w:val="clear" w:color="auto" w:fill="auto"/>
            <w:noWrap/>
            <w:vAlign w:val="center"/>
            <w:hideMark/>
          </w:tcPr>
          <w:p w14:paraId="6094CCB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477E031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2.445,87</w:t>
            </w:r>
          </w:p>
        </w:tc>
        <w:tc>
          <w:tcPr>
            <w:tcW w:w="1080" w:type="dxa"/>
            <w:tcBorders>
              <w:top w:val="nil"/>
              <w:left w:val="nil"/>
              <w:bottom w:val="single" w:sz="4" w:space="0" w:color="auto"/>
              <w:right w:val="single" w:sz="4" w:space="0" w:color="auto"/>
            </w:tcBorders>
            <w:shd w:val="clear" w:color="auto" w:fill="auto"/>
            <w:noWrap/>
            <w:vAlign w:val="center"/>
            <w:hideMark/>
          </w:tcPr>
          <w:p w14:paraId="484939D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122,29</w:t>
            </w:r>
          </w:p>
        </w:tc>
      </w:tr>
      <w:tr w:rsidR="00065F90" w:rsidRPr="00553AEA" w14:paraId="2EC4E0F5"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A29057B" w14:textId="77777777" w:rsidR="00065F90" w:rsidRPr="00553AEA" w:rsidRDefault="00065F90" w:rsidP="00065F90">
            <w:pPr>
              <w:jc w:val="center"/>
              <w:rPr>
                <w:rFonts w:ascii="Calibri" w:hAnsi="Calibri"/>
                <w:color w:val="auto"/>
                <w:sz w:val="20"/>
                <w:szCs w:val="20"/>
              </w:rPr>
            </w:pPr>
            <w:r w:rsidRPr="00553AEA">
              <w:rPr>
                <w:rFonts w:ascii="Calibri" w:hAnsi="Calibri"/>
                <w:color w:val="auto"/>
                <w:sz w:val="20"/>
                <w:szCs w:val="20"/>
                <w:lang w:val="sr-Latn-RS"/>
              </w:rPr>
              <w:t>6649</w:t>
            </w:r>
          </w:p>
        </w:tc>
        <w:tc>
          <w:tcPr>
            <w:tcW w:w="4320" w:type="dxa"/>
            <w:tcBorders>
              <w:top w:val="nil"/>
              <w:left w:val="nil"/>
              <w:bottom w:val="single" w:sz="4" w:space="0" w:color="auto"/>
              <w:right w:val="single" w:sz="4" w:space="0" w:color="auto"/>
            </w:tcBorders>
            <w:shd w:val="clear" w:color="auto" w:fill="auto"/>
            <w:vAlign w:val="center"/>
            <w:hideMark/>
          </w:tcPr>
          <w:p w14:paraId="12C44BA7"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Latn-RS"/>
              </w:rPr>
              <w:t>Нематеријални трошак (трошак предаје годишњег обрачуна)</w:t>
            </w:r>
          </w:p>
        </w:tc>
        <w:tc>
          <w:tcPr>
            <w:tcW w:w="1340" w:type="dxa"/>
            <w:tcBorders>
              <w:top w:val="nil"/>
              <w:left w:val="nil"/>
              <w:bottom w:val="single" w:sz="4" w:space="0" w:color="auto"/>
              <w:right w:val="single" w:sz="4" w:space="0" w:color="auto"/>
            </w:tcBorders>
            <w:shd w:val="clear" w:color="auto" w:fill="auto"/>
            <w:noWrap/>
            <w:vAlign w:val="center"/>
            <w:hideMark/>
          </w:tcPr>
          <w:p w14:paraId="0F9704D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110,00</w:t>
            </w:r>
          </w:p>
        </w:tc>
        <w:tc>
          <w:tcPr>
            <w:tcW w:w="1320" w:type="dxa"/>
            <w:tcBorders>
              <w:top w:val="nil"/>
              <w:left w:val="nil"/>
              <w:bottom w:val="single" w:sz="4" w:space="0" w:color="auto"/>
              <w:right w:val="single" w:sz="4" w:space="0" w:color="auto"/>
            </w:tcBorders>
            <w:shd w:val="clear" w:color="auto" w:fill="auto"/>
            <w:noWrap/>
            <w:vAlign w:val="center"/>
            <w:hideMark/>
          </w:tcPr>
          <w:p w14:paraId="2FA13DF1"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155,00</w:t>
            </w:r>
          </w:p>
        </w:tc>
        <w:tc>
          <w:tcPr>
            <w:tcW w:w="1080" w:type="dxa"/>
            <w:tcBorders>
              <w:top w:val="nil"/>
              <w:left w:val="nil"/>
              <w:bottom w:val="single" w:sz="4" w:space="0" w:color="auto"/>
              <w:right w:val="single" w:sz="4" w:space="0" w:color="auto"/>
            </w:tcBorders>
            <w:shd w:val="clear" w:color="auto" w:fill="auto"/>
            <w:noWrap/>
            <w:vAlign w:val="center"/>
            <w:hideMark/>
          </w:tcPr>
          <w:p w14:paraId="57D202D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140,91</w:t>
            </w:r>
          </w:p>
        </w:tc>
      </w:tr>
      <w:tr w:rsidR="00065F90" w:rsidRPr="00553AEA" w14:paraId="160B8DFC"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1F6D678" w14:textId="77777777" w:rsidR="00065F90" w:rsidRPr="00553AEA" w:rsidRDefault="00065F90" w:rsidP="00065F90">
            <w:pPr>
              <w:jc w:val="center"/>
              <w:rPr>
                <w:rFonts w:ascii="Calibri" w:hAnsi="Calibri"/>
                <w:color w:val="auto"/>
                <w:sz w:val="20"/>
                <w:szCs w:val="20"/>
              </w:rPr>
            </w:pPr>
            <w:r w:rsidRPr="00553AEA">
              <w:rPr>
                <w:rFonts w:ascii="Calibri" w:hAnsi="Calibri"/>
                <w:color w:val="auto"/>
                <w:sz w:val="20"/>
                <w:szCs w:val="20"/>
                <w:lang w:val="sr-Cyrl-BA"/>
              </w:rPr>
              <w:t>66482</w:t>
            </w:r>
          </w:p>
        </w:tc>
        <w:tc>
          <w:tcPr>
            <w:tcW w:w="4320" w:type="dxa"/>
            <w:tcBorders>
              <w:top w:val="nil"/>
              <w:left w:val="nil"/>
              <w:bottom w:val="single" w:sz="4" w:space="0" w:color="auto"/>
              <w:right w:val="single" w:sz="4" w:space="0" w:color="auto"/>
            </w:tcBorders>
            <w:shd w:val="clear" w:color="auto" w:fill="auto"/>
            <w:vAlign w:val="center"/>
            <w:hideMark/>
          </w:tcPr>
          <w:p w14:paraId="058E8DAB"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Cyrl-BA"/>
              </w:rPr>
              <w:t>Трошкови увођења ИСО 9001, и ИСО 14001</w:t>
            </w:r>
          </w:p>
        </w:tc>
        <w:tc>
          <w:tcPr>
            <w:tcW w:w="1340" w:type="dxa"/>
            <w:tcBorders>
              <w:top w:val="nil"/>
              <w:left w:val="nil"/>
              <w:bottom w:val="single" w:sz="4" w:space="0" w:color="auto"/>
              <w:right w:val="single" w:sz="4" w:space="0" w:color="auto"/>
            </w:tcBorders>
            <w:shd w:val="clear" w:color="auto" w:fill="auto"/>
            <w:noWrap/>
            <w:vAlign w:val="center"/>
            <w:hideMark/>
          </w:tcPr>
          <w:p w14:paraId="48DD84F4"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10.000,00</w:t>
            </w:r>
          </w:p>
        </w:tc>
        <w:tc>
          <w:tcPr>
            <w:tcW w:w="1320" w:type="dxa"/>
            <w:tcBorders>
              <w:top w:val="nil"/>
              <w:left w:val="nil"/>
              <w:bottom w:val="single" w:sz="4" w:space="0" w:color="auto"/>
              <w:right w:val="single" w:sz="4" w:space="0" w:color="auto"/>
            </w:tcBorders>
            <w:shd w:val="clear" w:color="auto" w:fill="auto"/>
            <w:noWrap/>
            <w:vAlign w:val="center"/>
            <w:hideMark/>
          </w:tcPr>
          <w:p w14:paraId="75426871" w14:textId="77777777" w:rsidR="00065F90" w:rsidRPr="00553AEA" w:rsidRDefault="00065F90" w:rsidP="00065F90">
            <w:pPr>
              <w:jc w:val="right"/>
              <w:rPr>
                <w:rFonts w:ascii="Calibri" w:hAnsi="Calibri"/>
                <w:color w:val="FF0000"/>
                <w:sz w:val="20"/>
                <w:szCs w:val="20"/>
              </w:rPr>
            </w:pPr>
            <w:r w:rsidRPr="00553AEA">
              <w:rPr>
                <w:rFonts w:ascii="Calibri" w:hAnsi="Calibri"/>
                <w:color w:val="FF0000"/>
                <w:sz w:val="20"/>
                <w:szCs w:val="20"/>
                <w:lang w:val="sr-Latn-RS"/>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DB52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0,00</w:t>
            </w:r>
          </w:p>
        </w:tc>
      </w:tr>
      <w:tr w:rsidR="00065F90" w:rsidRPr="00553AEA" w14:paraId="0D9B1B0D"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5452B6D7"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665</w:t>
            </w:r>
          </w:p>
        </w:tc>
        <w:tc>
          <w:tcPr>
            <w:tcW w:w="4320" w:type="dxa"/>
            <w:tcBorders>
              <w:top w:val="nil"/>
              <w:left w:val="nil"/>
              <w:bottom w:val="single" w:sz="4" w:space="0" w:color="auto"/>
              <w:right w:val="single" w:sz="4" w:space="0" w:color="auto"/>
            </w:tcBorders>
            <w:shd w:val="clear" w:color="000000" w:fill="C5D9F1"/>
            <w:vAlign w:val="center"/>
            <w:hideMark/>
          </w:tcPr>
          <w:p w14:paraId="043D3C16"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Трошкови по основу пореза и доприноса</w:t>
            </w:r>
          </w:p>
        </w:tc>
        <w:tc>
          <w:tcPr>
            <w:tcW w:w="1340" w:type="dxa"/>
            <w:tcBorders>
              <w:top w:val="nil"/>
              <w:left w:val="nil"/>
              <w:bottom w:val="single" w:sz="4" w:space="0" w:color="auto"/>
              <w:right w:val="single" w:sz="4" w:space="0" w:color="auto"/>
            </w:tcBorders>
            <w:shd w:val="clear" w:color="000000" w:fill="C5D9F1"/>
            <w:noWrap/>
            <w:vAlign w:val="center"/>
            <w:hideMark/>
          </w:tcPr>
          <w:p w14:paraId="3C36D3A3"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300,00</w:t>
            </w:r>
          </w:p>
        </w:tc>
        <w:tc>
          <w:tcPr>
            <w:tcW w:w="1320" w:type="dxa"/>
            <w:tcBorders>
              <w:top w:val="nil"/>
              <w:left w:val="nil"/>
              <w:bottom w:val="single" w:sz="4" w:space="0" w:color="auto"/>
              <w:right w:val="single" w:sz="4" w:space="0" w:color="auto"/>
            </w:tcBorders>
            <w:shd w:val="clear" w:color="000000" w:fill="C5D9F1"/>
            <w:noWrap/>
            <w:vAlign w:val="center"/>
            <w:hideMark/>
          </w:tcPr>
          <w:p w14:paraId="1E61DE2C"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273,00</w:t>
            </w:r>
          </w:p>
        </w:tc>
        <w:tc>
          <w:tcPr>
            <w:tcW w:w="1080" w:type="dxa"/>
            <w:tcBorders>
              <w:top w:val="nil"/>
              <w:left w:val="nil"/>
              <w:bottom w:val="single" w:sz="4" w:space="0" w:color="auto"/>
              <w:right w:val="single" w:sz="4" w:space="0" w:color="auto"/>
            </w:tcBorders>
            <w:shd w:val="clear" w:color="000000" w:fill="C5D9F1"/>
            <w:noWrap/>
            <w:vAlign w:val="center"/>
            <w:hideMark/>
          </w:tcPr>
          <w:p w14:paraId="2B94FC2D"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91,00</w:t>
            </w:r>
          </w:p>
        </w:tc>
      </w:tr>
      <w:tr w:rsidR="00065F90" w:rsidRPr="00553AEA" w14:paraId="4EF9D1DF"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26966E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6650</w:t>
            </w:r>
          </w:p>
        </w:tc>
        <w:tc>
          <w:tcPr>
            <w:tcW w:w="4320" w:type="dxa"/>
            <w:tcBorders>
              <w:top w:val="nil"/>
              <w:left w:val="nil"/>
              <w:bottom w:val="single" w:sz="4" w:space="0" w:color="auto"/>
              <w:right w:val="single" w:sz="4" w:space="0" w:color="auto"/>
            </w:tcBorders>
            <w:shd w:val="clear" w:color="auto" w:fill="auto"/>
            <w:vAlign w:val="center"/>
            <w:hideMark/>
          </w:tcPr>
          <w:p w14:paraId="709CEFE6"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водног доприноса</w:t>
            </w:r>
          </w:p>
        </w:tc>
        <w:tc>
          <w:tcPr>
            <w:tcW w:w="1340" w:type="dxa"/>
            <w:tcBorders>
              <w:top w:val="nil"/>
              <w:left w:val="nil"/>
              <w:bottom w:val="single" w:sz="4" w:space="0" w:color="auto"/>
              <w:right w:val="single" w:sz="4" w:space="0" w:color="auto"/>
            </w:tcBorders>
            <w:shd w:val="clear" w:color="auto" w:fill="auto"/>
            <w:noWrap/>
            <w:vAlign w:val="center"/>
            <w:hideMark/>
          </w:tcPr>
          <w:p w14:paraId="4FAC37CD"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300,00</w:t>
            </w:r>
          </w:p>
        </w:tc>
        <w:tc>
          <w:tcPr>
            <w:tcW w:w="1320" w:type="dxa"/>
            <w:tcBorders>
              <w:top w:val="nil"/>
              <w:left w:val="nil"/>
              <w:bottom w:val="single" w:sz="4" w:space="0" w:color="auto"/>
              <w:right w:val="single" w:sz="4" w:space="0" w:color="auto"/>
            </w:tcBorders>
            <w:shd w:val="clear" w:color="auto" w:fill="auto"/>
            <w:noWrap/>
            <w:vAlign w:val="center"/>
            <w:hideMark/>
          </w:tcPr>
          <w:p w14:paraId="1CE58705" w14:textId="77777777" w:rsidR="00065F90" w:rsidRPr="00553AEA" w:rsidRDefault="00065F90" w:rsidP="00065F90">
            <w:pPr>
              <w:jc w:val="right"/>
              <w:rPr>
                <w:rFonts w:ascii="Calibri" w:hAnsi="Calibri"/>
                <w:sz w:val="20"/>
                <w:szCs w:val="20"/>
              </w:rPr>
            </w:pPr>
            <w:r w:rsidRPr="00553AEA">
              <w:rPr>
                <w:rFonts w:ascii="Calibri" w:hAnsi="Calibri"/>
                <w:sz w:val="20"/>
                <w:szCs w:val="20"/>
                <w:lang w:val="sr-Latn-RS"/>
              </w:rPr>
              <w:t>273,00</w:t>
            </w:r>
          </w:p>
        </w:tc>
        <w:tc>
          <w:tcPr>
            <w:tcW w:w="1080" w:type="dxa"/>
            <w:tcBorders>
              <w:top w:val="nil"/>
              <w:left w:val="nil"/>
              <w:bottom w:val="single" w:sz="4" w:space="0" w:color="auto"/>
              <w:right w:val="single" w:sz="4" w:space="0" w:color="auto"/>
            </w:tcBorders>
            <w:shd w:val="clear" w:color="auto" w:fill="auto"/>
            <w:noWrap/>
            <w:vAlign w:val="center"/>
            <w:hideMark/>
          </w:tcPr>
          <w:p w14:paraId="2C79929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91,00</w:t>
            </w:r>
          </w:p>
        </w:tc>
      </w:tr>
      <w:tr w:rsidR="00065F90" w:rsidRPr="00553AEA" w14:paraId="1BF8BCB9"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0F52D21"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666</w:t>
            </w:r>
          </w:p>
        </w:tc>
        <w:tc>
          <w:tcPr>
            <w:tcW w:w="4320" w:type="dxa"/>
            <w:tcBorders>
              <w:top w:val="nil"/>
              <w:left w:val="nil"/>
              <w:bottom w:val="single" w:sz="4" w:space="0" w:color="auto"/>
              <w:right w:val="single" w:sz="4" w:space="0" w:color="auto"/>
            </w:tcBorders>
            <w:shd w:val="clear" w:color="000000" w:fill="C5D9F1"/>
            <w:vAlign w:val="center"/>
            <w:hideMark/>
          </w:tcPr>
          <w:p w14:paraId="38D13204"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Остали трошкови</w:t>
            </w:r>
          </w:p>
        </w:tc>
        <w:tc>
          <w:tcPr>
            <w:tcW w:w="1340" w:type="dxa"/>
            <w:tcBorders>
              <w:top w:val="nil"/>
              <w:left w:val="nil"/>
              <w:bottom w:val="single" w:sz="4" w:space="0" w:color="auto"/>
              <w:right w:val="single" w:sz="4" w:space="0" w:color="auto"/>
            </w:tcBorders>
            <w:shd w:val="clear" w:color="000000" w:fill="C5D9F1"/>
            <w:noWrap/>
            <w:vAlign w:val="center"/>
            <w:hideMark/>
          </w:tcPr>
          <w:p w14:paraId="4C7893ED"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111.272,22</w:t>
            </w:r>
          </w:p>
        </w:tc>
        <w:tc>
          <w:tcPr>
            <w:tcW w:w="1320" w:type="dxa"/>
            <w:tcBorders>
              <w:top w:val="nil"/>
              <w:left w:val="nil"/>
              <w:bottom w:val="single" w:sz="4" w:space="0" w:color="auto"/>
              <w:right w:val="single" w:sz="4" w:space="0" w:color="auto"/>
            </w:tcBorders>
            <w:shd w:val="clear" w:color="000000" w:fill="C5D9F1"/>
            <w:noWrap/>
            <w:vAlign w:val="center"/>
            <w:hideMark/>
          </w:tcPr>
          <w:p w14:paraId="48CFC815"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132.121,82</w:t>
            </w:r>
          </w:p>
        </w:tc>
        <w:tc>
          <w:tcPr>
            <w:tcW w:w="1080" w:type="dxa"/>
            <w:tcBorders>
              <w:top w:val="nil"/>
              <w:left w:val="nil"/>
              <w:bottom w:val="single" w:sz="4" w:space="0" w:color="auto"/>
              <w:right w:val="single" w:sz="4" w:space="0" w:color="auto"/>
            </w:tcBorders>
            <w:shd w:val="clear" w:color="000000" w:fill="C5D9F1"/>
            <w:noWrap/>
            <w:vAlign w:val="center"/>
            <w:hideMark/>
          </w:tcPr>
          <w:p w14:paraId="663BB76D"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118,74</w:t>
            </w:r>
          </w:p>
        </w:tc>
      </w:tr>
      <w:tr w:rsidR="00065F90" w:rsidRPr="00553AEA" w14:paraId="0D8DD2E0"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06CBCC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6660</w:t>
            </w:r>
          </w:p>
        </w:tc>
        <w:tc>
          <w:tcPr>
            <w:tcW w:w="4320" w:type="dxa"/>
            <w:tcBorders>
              <w:top w:val="nil"/>
              <w:left w:val="nil"/>
              <w:bottom w:val="single" w:sz="4" w:space="0" w:color="auto"/>
              <w:right w:val="single" w:sz="4" w:space="0" w:color="auto"/>
            </w:tcBorders>
            <w:shd w:val="clear" w:color="auto" w:fill="auto"/>
            <w:vAlign w:val="center"/>
            <w:hideMark/>
          </w:tcPr>
          <w:p w14:paraId="5693FC22"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Остали трошкови - трошкови закупа</w:t>
            </w:r>
          </w:p>
        </w:tc>
        <w:tc>
          <w:tcPr>
            <w:tcW w:w="1340" w:type="dxa"/>
            <w:tcBorders>
              <w:top w:val="nil"/>
              <w:left w:val="nil"/>
              <w:bottom w:val="single" w:sz="4" w:space="0" w:color="auto"/>
              <w:right w:val="single" w:sz="4" w:space="0" w:color="auto"/>
            </w:tcBorders>
            <w:shd w:val="clear" w:color="auto" w:fill="auto"/>
            <w:noWrap/>
            <w:vAlign w:val="center"/>
            <w:hideMark/>
          </w:tcPr>
          <w:p w14:paraId="063C814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56.142,00</w:t>
            </w:r>
          </w:p>
        </w:tc>
        <w:tc>
          <w:tcPr>
            <w:tcW w:w="1320" w:type="dxa"/>
            <w:tcBorders>
              <w:top w:val="nil"/>
              <w:left w:val="nil"/>
              <w:bottom w:val="single" w:sz="4" w:space="0" w:color="auto"/>
              <w:right w:val="single" w:sz="4" w:space="0" w:color="auto"/>
            </w:tcBorders>
            <w:shd w:val="clear" w:color="auto" w:fill="auto"/>
            <w:noWrap/>
            <w:vAlign w:val="center"/>
            <w:hideMark/>
          </w:tcPr>
          <w:p w14:paraId="5A37CA2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56.409,44</w:t>
            </w:r>
          </w:p>
        </w:tc>
        <w:tc>
          <w:tcPr>
            <w:tcW w:w="1080" w:type="dxa"/>
            <w:tcBorders>
              <w:top w:val="nil"/>
              <w:left w:val="nil"/>
              <w:bottom w:val="single" w:sz="4" w:space="0" w:color="auto"/>
              <w:right w:val="single" w:sz="4" w:space="0" w:color="auto"/>
            </w:tcBorders>
            <w:shd w:val="clear" w:color="auto" w:fill="auto"/>
            <w:noWrap/>
            <w:vAlign w:val="center"/>
            <w:hideMark/>
          </w:tcPr>
          <w:p w14:paraId="2953C3D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100,48</w:t>
            </w:r>
          </w:p>
        </w:tc>
      </w:tr>
      <w:tr w:rsidR="00065F90" w:rsidRPr="00553AEA" w14:paraId="5CA3CA18"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4DF89D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6661</w:t>
            </w:r>
          </w:p>
        </w:tc>
        <w:tc>
          <w:tcPr>
            <w:tcW w:w="4320" w:type="dxa"/>
            <w:tcBorders>
              <w:top w:val="nil"/>
              <w:left w:val="nil"/>
              <w:bottom w:val="single" w:sz="4" w:space="0" w:color="auto"/>
              <w:right w:val="single" w:sz="4" w:space="0" w:color="auto"/>
            </w:tcBorders>
            <w:shd w:val="clear" w:color="auto" w:fill="auto"/>
            <w:vAlign w:val="center"/>
            <w:hideMark/>
          </w:tcPr>
          <w:p w14:paraId="5EB77B88"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такса</w:t>
            </w:r>
          </w:p>
        </w:tc>
        <w:tc>
          <w:tcPr>
            <w:tcW w:w="1340" w:type="dxa"/>
            <w:tcBorders>
              <w:top w:val="nil"/>
              <w:left w:val="nil"/>
              <w:bottom w:val="single" w:sz="4" w:space="0" w:color="auto"/>
              <w:right w:val="single" w:sz="4" w:space="0" w:color="auto"/>
            </w:tcBorders>
            <w:shd w:val="clear" w:color="auto" w:fill="auto"/>
            <w:noWrap/>
            <w:vAlign w:val="center"/>
            <w:hideMark/>
          </w:tcPr>
          <w:p w14:paraId="400AF15D"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20.000,00</w:t>
            </w:r>
          </w:p>
        </w:tc>
        <w:tc>
          <w:tcPr>
            <w:tcW w:w="1320" w:type="dxa"/>
            <w:tcBorders>
              <w:top w:val="nil"/>
              <w:left w:val="nil"/>
              <w:bottom w:val="single" w:sz="4" w:space="0" w:color="auto"/>
              <w:right w:val="single" w:sz="4" w:space="0" w:color="auto"/>
            </w:tcBorders>
            <w:shd w:val="clear" w:color="auto" w:fill="auto"/>
            <w:noWrap/>
            <w:vAlign w:val="center"/>
            <w:hideMark/>
          </w:tcPr>
          <w:p w14:paraId="7EDA5845"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51.321,92</w:t>
            </w:r>
          </w:p>
        </w:tc>
        <w:tc>
          <w:tcPr>
            <w:tcW w:w="1080" w:type="dxa"/>
            <w:tcBorders>
              <w:top w:val="nil"/>
              <w:left w:val="nil"/>
              <w:bottom w:val="single" w:sz="4" w:space="0" w:color="auto"/>
              <w:right w:val="single" w:sz="4" w:space="0" w:color="auto"/>
            </w:tcBorders>
            <w:shd w:val="clear" w:color="auto" w:fill="auto"/>
            <w:noWrap/>
            <w:vAlign w:val="center"/>
            <w:hideMark/>
          </w:tcPr>
          <w:p w14:paraId="197946F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256,61</w:t>
            </w:r>
          </w:p>
        </w:tc>
      </w:tr>
      <w:tr w:rsidR="00065F90" w:rsidRPr="00553AEA" w14:paraId="040DFE9B"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28CD13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66611</w:t>
            </w:r>
          </w:p>
        </w:tc>
        <w:tc>
          <w:tcPr>
            <w:tcW w:w="4320" w:type="dxa"/>
            <w:tcBorders>
              <w:top w:val="nil"/>
              <w:left w:val="nil"/>
              <w:bottom w:val="single" w:sz="4" w:space="0" w:color="auto"/>
              <w:right w:val="single" w:sz="4" w:space="0" w:color="auto"/>
            </w:tcBorders>
            <w:shd w:val="clear" w:color="auto" w:fill="auto"/>
            <w:vAlign w:val="center"/>
            <w:hideMark/>
          </w:tcPr>
          <w:p w14:paraId="3F41E971" w14:textId="77777777" w:rsidR="00065F90" w:rsidRPr="00553AEA" w:rsidRDefault="00065F90" w:rsidP="00065F90">
            <w:pPr>
              <w:jc w:val="left"/>
              <w:rPr>
                <w:rFonts w:ascii="Calibri" w:hAnsi="Calibri"/>
                <w:color w:val="auto"/>
                <w:sz w:val="20"/>
                <w:szCs w:val="20"/>
              </w:rPr>
            </w:pPr>
            <w:r w:rsidRPr="00553AEA">
              <w:rPr>
                <w:rFonts w:ascii="Calibri" w:hAnsi="Calibri"/>
                <w:color w:val="auto"/>
                <w:sz w:val="20"/>
                <w:szCs w:val="20"/>
                <w:lang w:val="sr-Latn-RS"/>
              </w:rPr>
              <w:t>Остали трошкови – новогодишњи пакетићи</w:t>
            </w:r>
          </w:p>
        </w:tc>
        <w:tc>
          <w:tcPr>
            <w:tcW w:w="1340" w:type="dxa"/>
            <w:tcBorders>
              <w:top w:val="nil"/>
              <w:left w:val="nil"/>
              <w:bottom w:val="single" w:sz="4" w:space="0" w:color="auto"/>
              <w:right w:val="single" w:sz="4" w:space="0" w:color="auto"/>
            </w:tcBorders>
            <w:shd w:val="clear" w:color="auto" w:fill="auto"/>
            <w:noWrap/>
            <w:vAlign w:val="center"/>
            <w:hideMark/>
          </w:tcPr>
          <w:p w14:paraId="5EA5671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1.000,00</w:t>
            </w:r>
          </w:p>
        </w:tc>
        <w:tc>
          <w:tcPr>
            <w:tcW w:w="1320" w:type="dxa"/>
            <w:tcBorders>
              <w:top w:val="nil"/>
              <w:left w:val="nil"/>
              <w:bottom w:val="single" w:sz="4" w:space="0" w:color="auto"/>
              <w:right w:val="single" w:sz="4" w:space="0" w:color="auto"/>
            </w:tcBorders>
            <w:shd w:val="clear" w:color="auto" w:fill="auto"/>
            <w:noWrap/>
            <w:vAlign w:val="center"/>
            <w:hideMark/>
          </w:tcPr>
          <w:p w14:paraId="0A700146"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1.122,68</w:t>
            </w:r>
          </w:p>
        </w:tc>
        <w:tc>
          <w:tcPr>
            <w:tcW w:w="1080" w:type="dxa"/>
            <w:tcBorders>
              <w:top w:val="nil"/>
              <w:left w:val="nil"/>
              <w:bottom w:val="single" w:sz="4" w:space="0" w:color="auto"/>
              <w:right w:val="single" w:sz="4" w:space="0" w:color="auto"/>
            </w:tcBorders>
            <w:shd w:val="clear" w:color="auto" w:fill="auto"/>
            <w:noWrap/>
            <w:vAlign w:val="center"/>
            <w:hideMark/>
          </w:tcPr>
          <w:p w14:paraId="05ED84D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112,27</w:t>
            </w:r>
          </w:p>
        </w:tc>
      </w:tr>
      <w:tr w:rsidR="00065F90" w:rsidRPr="00553AEA" w14:paraId="46CEADB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7ED3343"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66613</w:t>
            </w:r>
          </w:p>
        </w:tc>
        <w:tc>
          <w:tcPr>
            <w:tcW w:w="4320" w:type="dxa"/>
            <w:tcBorders>
              <w:top w:val="nil"/>
              <w:left w:val="nil"/>
              <w:bottom w:val="single" w:sz="4" w:space="0" w:color="auto"/>
              <w:right w:val="single" w:sz="4" w:space="0" w:color="auto"/>
            </w:tcBorders>
            <w:shd w:val="clear" w:color="auto" w:fill="auto"/>
            <w:vAlign w:val="center"/>
            <w:hideMark/>
          </w:tcPr>
          <w:p w14:paraId="51D45899"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рекламе и пропаганде</w:t>
            </w:r>
          </w:p>
        </w:tc>
        <w:tc>
          <w:tcPr>
            <w:tcW w:w="1340" w:type="dxa"/>
            <w:tcBorders>
              <w:top w:val="nil"/>
              <w:left w:val="nil"/>
              <w:bottom w:val="single" w:sz="4" w:space="0" w:color="auto"/>
              <w:right w:val="single" w:sz="4" w:space="0" w:color="auto"/>
            </w:tcBorders>
            <w:shd w:val="clear" w:color="auto" w:fill="auto"/>
            <w:noWrap/>
            <w:vAlign w:val="center"/>
            <w:hideMark/>
          </w:tcPr>
          <w:p w14:paraId="5A57B574"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5.000,00</w:t>
            </w:r>
          </w:p>
        </w:tc>
        <w:tc>
          <w:tcPr>
            <w:tcW w:w="1320" w:type="dxa"/>
            <w:tcBorders>
              <w:top w:val="nil"/>
              <w:left w:val="nil"/>
              <w:bottom w:val="single" w:sz="4" w:space="0" w:color="auto"/>
              <w:right w:val="single" w:sz="4" w:space="0" w:color="auto"/>
            </w:tcBorders>
            <w:shd w:val="clear" w:color="auto" w:fill="auto"/>
            <w:noWrap/>
            <w:vAlign w:val="center"/>
            <w:hideMark/>
          </w:tcPr>
          <w:p w14:paraId="71D9151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3.846,32</w:t>
            </w:r>
          </w:p>
        </w:tc>
        <w:tc>
          <w:tcPr>
            <w:tcW w:w="1080" w:type="dxa"/>
            <w:tcBorders>
              <w:top w:val="nil"/>
              <w:left w:val="nil"/>
              <w:bottom w:val="single" w:sz="4" w:space="0" w:color="auto"/>
              <w:right w:val="single" w:sz="4" w:space="0" w:color="auto"/>
            </w:tcBorders>
            <w:shd w:val="clear" w:color="auto" w:fill="auto"/>
            <w:noWrap/>
            <w:vAlign w:val="center"/>
            <w:hideMark/>
          </w:tcPr>
          <w:p w14:paraId="300B9137"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76,93</w:t>
            </w:r>
          </w:p>
        </w:tc>
      </w:tr>
      <w:tr w:rsidR="00065F90" w:rsidRPr="00553AEA" w14:paraId="5882AD9D"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1EC25C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66616</w:t>
            </w:r>
          </w:p>
        </w:tc>
        <w:tc>
          <w:tcPr>
            <w:tcW w:w="4320" w:type="dxa"/>
            <w:tcBorders>
              <w:top w:val="nil"/>
              <w:left w:val="nil"/>
              <w:bottom w:val="single" w:sz="4" w:space="0" w:color="auto"/>
              <w:right w:val="single" w:sz="4" w:space="0" w:color="auto"/>
            </w:tcBorders>
            <w:shd w:val="clear" w:color="auto" w:fill="auto"/>
            <w:vAlign w:val="center"/>
            <w:hideMark/>
          </w:tcPr>
          <w:p w14:paraId="5B72B96E"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Остали трошкови - Донације</w:t>
            </w:r>
          </w:p>
        </w:tc>
        <w:tc>
          <w:tcPr>
            <w:tcW w:w="1340" w:type="dxa"/>
            <w:tcBorders>
              <w:top w:val="nil"/>
              <w:left w:val="nil"/>
              <w:bottom w:val="single" w:sz="4" w:space="0" w:color="auto"/>
              <w:right w:val="single" w:sz="4" w:space="0" w:color="auto"/>
            </w:tcBorders>
            <w:shd w:val="clear" w:color="auto" w:fill="auto"/>
            <w:noWrap/>
            <w:vAlign w:val="center"/>
            <w:hideMark/>
          </w:tcPr>
          <w:p w14:paraId="5B40A540"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1.500,00</w:t>
            </w:r>
          </w:p>
        </w:tc>
        <w:tc>
          <w:tcPr>
            <w:tcW w:w="1320" w:type="dxa"/>
            <w:tcBorders>
              <w:top w:val="nil"/>
              <w:left w:val="nil"/>
              <w:bottom w:val="single" w:sz="4" w:space="0" w:color="auto"/>
              <w:right w:val="single" w:sz="4" w:space="0" w:color="auto"/>
            </w:tcBorders>
            <w:shd w:val="clear" w:color="auto" w:fill="auto"/>
            <w:noWrap/>
            <w:vAlign w:val="center"/>
            <w:hideMark/>
          </w:tcPr>
          <w:p w14:paraId="5A10757F"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1.500,00</w:t>
            </w:r>
          </w:p>
        </w:tc>
        <w:tc>
          <w:tcPr>
            <w:tcW w:w="1080" w:type="dxa"/>
            <w:tcBorders>
              <w:top w:val="nil"/>
              <w:left w:val="nil"/>
              <w:bottom w:val="single" w:sz="4" w:space="0" w:color="auto"/>
              <w:right w:val="single" w:sz="4" w:space="0" w:color="auto"/>
            </w:tcBorders>
            <w:shd w:val="clear" w:color="auto" w:fill="auto"/>
            <w:noWrap/>
            <w:vAlign w:val="center"/>
            <w:hideMark/>
          </w:tcPr>
          <w:p w14:paraId="44785C8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100,00</w:t>
            </w:r>
          </w:p>
        </w:tc>
      </w:tr>
      <w:tr w:rsidR="00065F90" w:rsidRPr="00553AEA" w14:paraId="6E175A86"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84B429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6664</w:t>
            </w:r>
          </w:p>
        </w:tc>
        <w:tc>
          <w:tcPr>
            <w:tcW w:w="4320" w:type="dxa"/>
            <w:tcBorders>
              <w:top w:val="nil"/>
              <w:left w:val="nil"/>
              <w:bottom w:val="single" w:sz="4" w:space="0" w:color="auto"/>
              <w:right w:val="single" w:sz="4" w:space="0" w:color="auto"/>
            </w:tcBorders>
            <w:shd w:val="clear" w:color="auto" w:fill="auto"/>
            <w:vAlign w:val="center"/>
            <w:hideMark/>
          </w:tcPr>
          <w:p w14:paraId="6A45890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Остали трошкови - трошкови гријања</w:t>
            </w:r>
          </w:p>
        </w:tc>
        <w:tc>
          <w:tcPr>
            <w:tcW w:w="1340" w:type="dxa"/>
            <w:tcBorders>
              <w:top w:val="nil"/>
              <w:left w:val="nil"/>
              <w:bottom w:val="single" w:sz="4" w:space="0" w:color="auto"/>
              <w:right w:val="single" w:sz="4" w:space="0" w:color="auto"/>
            </w:tcBorders>
            <w:shd w:val="clear" w:color="auto" w:fill="auto"/>
            <w:noWrap/>
            <w:vAlign w:val="center"/>
            <w:hideMark/>
          </w:tcPr>
          <w:p w14:paraId="08A75912"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11.200,00</w:t>
            </w:r>
          </w:p>
        </w:tc>
        <w:tc>
          <w:tcPr>
            <w:tcW w:w="1320" w:type="dxa"/>
            <w:tcBorders>
              <w:top w:val="nil"/>
              <w:left w:val="nil"/>
              <w:bottom w:val="single" w:sz="4" w:space="0" w:color="auto"/>
              <w:right w:val="single" w:sz="4" w:space="0" w:color="auto"/>
            </w:tcBorders>
            <w:shd w:val="clear" w:color="auto" w:fill="auto"/>
            <w:noWrap/>
            <w:vAlign w:val="center"/>
            <w:hideMark/>
          </w:tcPr>
          <w:p w14:paraId="1710B48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5.670,58</w:t>
            </w:r>
          </w:p>
        </w:tc>
        <w:tc>
          <w:tcPr>
            <w:tcW w:w="1080" w:type="dxa"/>
            <w:tcBorders>
              <w:top w:val="nil"/>
              <w:left w:val="nil"/>
              <w:bottom w:val="single" w:sz="4" w:space="0" w:color="auto"/>
              <w:right w:val="single" w:sz="4" w:space="0" w:color="auto"/>
            </w:tcBorders>
            <w:shd w:val="clear" w:color="auto" w:fill="auto"/>
            <w:noWrap/>
            <w:vAlign w:val="center"/>
            <w:hideMark/>
          </w:tcPr>
          <w:p w14:paraId="76E9456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50,63</w:t>
            </w:r>
          </w:p>
        </w:tc>
      </w:tr>
      <w:tr w:rsidR="00065F90" w:rsidRPr="00553AEA" w14:paraId="5D9B06B6"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0F8C13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6665</w:t>
            </w:r>
          </w:p>
        </w:tc>
        <w:tc>
          <w:tcPr>
            <w:tcW w:w="4320" w:type="dxa"/>
            <w:tcBorders>
              <w:top w:val="nil"/>
              <w:left w:val="nil"/>
              <w:bottom w:val="single" w:sz="4" w:space="0" w:color="auto"/>
              <w:right w:val="single" w:sz="4" w:space="0" w:color="auto"/>
            </w:tcBorders>
            <w:shd w:val="clear" w:color="auto" w:fill="auto"/>
            <w:vAlign w:val="center"/>
            <w:hideMark/>
          </w:tcPr>
          <w:p w14:paraId="321827AE"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 утрошена електрична енергија</w:t>
            </w:r>
          </w:p>
        </w:tc>
        <w:tc>
          <w:tcPr>
            <w:tcW w:w="1340" w:type="dxa"/>
            <w:tcBorders>
              <w:top w:val="nil"/>
              <w:left w:val="nil"/>
              <w:bottom w:val="single" w:sz="4" w:space="0" w:color="auto"/>
              <w:right w:val="single" w:sz="4" w:space="0" w:color="auto"/>
            </w:tcBorders>
            <w:shd w:val="clear" w:color="auto" w:fill="auto"/>
            <w:noWrap/>
            <w:vAlign w:val="center"/>
            <w:hideMark/>
          </w:tcPr>
          <w:p w14:paraId="63B6FE7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4.140,22</w:t>
            </w:r>
          </w:p>
        </w:tc>
        <w:tc>
          <w:tcPr>
            <w:tcW w:w="1320" w:type="dxa"/>
            <w:tcBorders>
              <w:top w:val="nil"/>
              <w:left w:val="nil"/>
              <w:bottom w:val="single" w:sz="4" w:space="0" w:color="auto"/>
              <w:right w:val="single" w:sz="4" w:space="0" w:color="auto"/>
            </w:tcBorders>
            <w:shd w:val="clear" w:color="auto" w:fill="auto"/>
            <w:noWrap/>
            <w:vAlign w:val="center"/>
            <w:hideMark/>
          </w:tcPr>
          <w:p w14:paraId="7E4E487E"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3.138,93</w:t>
            </w:r>
          </w:p>
        </w:tc>
        <w:tc>
          <w:tcPr>
            <w:tcW w:w="1080" w:type="dxa"/>
            <w:tcBorders>
              <w:top w:val="nil"/>
              <w:left w:val="nil"/>
              <w:bottom w:val="single" w:sz="4" w:space="0" w:color="auto"/>
              <w:right w:val="single" w:sz="4" w:space="0" w:color="auto"/>
            </w:tcBorders>
            <w:shd w:val="clear" w:color="auto" w:fill="auto"/>
            <w:noWrap/>
            <w:vAlign w:val="center"/>
            <w:hideMark/>
          </w:tcPr>
          <w:p w14:paraId="1C3FFB5E"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75,82</w:t>
            </w:r>
          </w:p>
        </w:tc>
      </w:tr>
      <w:tr w:rsidR="00065F90" w:rsidRPr="00553AEA" w14:paraId="48546CE9"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F5D4B7C"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66660</w:t>
            </w:r>
          </w:p>
        </w:tc>
        <w:tc>
          <w:tcPr>
            <w:tcW w:w="4320" w:type="dxa"/>
            <w:tcBorders>
              <w:top w:val="nil"/>
              <w:left w:val="nil"/>
              <w:bottom w:val="single" w:sz="4" w:space="0" w:color="auto"/>
              <w:right w:val="single" w:sz="4" w:space="0" w:color="auto"/>
            </w:tcBorders>
            <w:shd w:val="clear" w:color="auto" w:fill="auto"/>
            <w:vAlign w:val="center"/>
            <w:hideMark/>
          </w:tcPr>
          <w:p w14:paraId="5925A5F1"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накнада за шуме</w:t>
            </w:r>
          </w:p>
        </w:tc>
        <w:tc>
          <w:tcPr>
            <w:tcW w:w="1340" w:type="dxa"/>
            <w:tcBorders>
              <w:top w:val="nil"/>
              <w:left w:val="nil"/>
              <w:bottom w:val="single" w:sz="4" w:space="0" w:color="auto"/>
              <w:right w:val="single" w:sz="4" w:space="0" w:color="auto"/>
            </w:tcBorders>
            <w:shd w:val="clear" w:color="auto" w:fill="auto"/>
            <w:noWrap/>
            <w:vAlign w:val="center"/>
            <w:hideMark/>
          </w:tcPr>
          <w:p w14:paraId="145BFCD9"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600,00</w:t>
            </w:r>
          </w:p>
        </w:tc>
        <w:tc>
          <w:tcPr>
            <w:tcW w:w="1320" w:type="dxa"/>
            <w:tcBorders>
              <w:top w:val="nil"/>
              <w:left w:val="nil"/>
              <w:bottom w:val="single" w:sz="4" w:space="0" w:color="auto"/>
              <w:right w:val="single" w:sz="4" w:space="0" w:color="auto"/>
            </w:tcBorders>
            <w:shd w:val="clear" w:color="auto" w:fill="auto"/>
            <w:noWrap/>
            <w:vAlign w:val="center"/>
            <w:hideMark/>
          </w:tcPr>
          <w:p w14:paraId="27FFD2B2"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893,45</w:t>
            </w:r>
          </w:p>
        </w:tc>
        <w:tc>
          <w:tcPr>
            <w:tcW w:w="1080" w:type="dxa"/>
            <w:tcBorders>
              <w:top w:val="nil"/>
              <w:left w:val="nil"/>
              <w:bottom w:val="single" w:sz="4" w:space="0" w:color="auto"/>
              <w:right w:val="single" w:sz="4" w:space="0" w:color="auto"/>
            </w:tcBorders>
            <w:shd w:val="clear" w:color="auto" w:fill="auto"/>
            <w:noWrap/>
            <w:vAlign w:val="center"/>
            <w:hideMark/>
          </w:tcPr>
          <w:p w14:paraId="1C42C38B"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148,91</w:t>
            </w:r>
          </w:p>
        </w:tc>
      </w:tr>
      <w:tr w:rsidR="00065F90" w:rsidRPr="00553AEA" w14:paraId="79AB524A" w14:textId="77777777" w:rsidTr="009634B9">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9E2F012"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66661</w:t>
            </w:r>
          </w:p>
        </w:tc>
        <w:tc>
          <w:tcPr>
            <w:tcW w:w="4320" w:type="dxa"/>
            <w:tcBorders>
              <w:top w:val="nil"/>
              <w:left w:val="nil"/>
              <w:bottom w:val="single" w:sz="4" w:space="0" w:color="auto"/>
              <w:right w:val="single" w:sz="4" w:space="0" w:color="auto"/>
            </w:tcBorders>
            <w:shd w:val="clear" w:color="auto" w:fill="auto"/>
            <w:vAlign w:val="center"/>
            <w:hideMark/>
          </w:tcPr>
          <w:p w14:paraId="4220E30B"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противпожарне накнаде по годишњем обрачуну</w:t>
            </w:r>
          </w:p>
        </w:tc>
        <w:tc>
          <w:tcPr>
            <w:tcW w:w="1340" w:type="dxa"/>
            <w:tcBorders>
              <w:top w:val="nil"/>
              <w:left w:val="nil"/>
              <w:bottom w:val="single" w:sz="4" w:space="0" w:color="auto"/>
              <w:right w:val="single" w:sz="4" w:space="0" w:color="auto"/>
            </w:tcBorders>
            <w:shd w:val="clear" w:color="auto" w:fill="auto"/>
            <w:noWrap/>
            <w:vAlign w:val="center"/>
            <w:hideMark/>
          </w:tcPr>
          <w:p w14:paraId="02B2E42F"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190,00</w:t>
            </w:r>
          </w:p>
        </w:tc>
        <w:tc>
          <w:tcPr>
            <w:tcW w:w="1320" w:type="dxa"/>
            <w:tcBorders>
              <w:top w:val="nil"/>
              <w:left w:val="nil"/>
              <w:bottom w:val="single" w:sz="4" w:space="0" w:color="auto"/>
              <w:right w:val="single" w:sz="4" w:space="0" w:color="auto"/>
            </w:tcBorders>
            <w:shd w:val="clear" w:color="auto" w:fill="auto"/>
            <w:noWrap/>
            <w:vAlign w:val="center"/>
            <w:hideMark/>
          </w:tcPr>
          <w:p w14:paraId="23E8819E"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351,03</w:t>
            </w:r>
          </w:p>
        </w:tc>
        <w:tc>
          <w:tcPr>
            <w:tcW w:w="1080" w:type="dxa"/>
            <w:tcBorders>
              <w:top w:val="nil"/>
              <w:left w:val="nil"/>
              <w:bottom w:val="single" w:sz="4" w:space="0" w:color="auto"/>
              <w:right w:val="single" w:sz="4" w:space="0" w:color="auto"/>
            </w:tcBorders>
            <w:shd w:val="clear" w:color="auto" w:fill="auto"/>
            <w:noWrap/>
            <w:vAlign w:val="center"/>
            <w:hideMark/>
          </w:tcPr>
          <w:p w14:paraId="29C15A2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184,75</w:t>
            </w:r>
          </w:p>
        </w:tc>
      </w:tr>
      <w:tr w:rsidR="00065F90" w:rsidRPr="00553AEA" w14:paraId="637B4F94"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C80EAD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6667</w:t>
            </w:r>
          </w:p>
        </w:tc>
        <w:tc>
          <w:tcPr>
            <w:tcW w:w="4320" w:type="dxa"/>
            <w:tcBorders>
              <w:top w:val="nil"/>
              <w:left w:val="nil"/>
              <w:bottom w:val="single" w:sz="4" w:space="0" w:color="auto"/>
              <w:right w:val="single" w:sz="4" w:space="0" w:color="auto"/>
            </w:tcBorders>
            <w:shd w:val="clear" w:color="auto" w:fill="auto"/>
            <w:vAlign w:val="center"/>
            <w:hideMark/>
          </w:tcPr>
          <w:p w14:paraId="38BD89E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регистрације путничког возила</w:t>
            </w:r>
          </w:p>
        </w:tc>
        <w:tc>
          <w:tcPr>
            <w:tcW w:w="1340" w:type="dxa"/>
            <w:tcBorders>
              <w:top w:val="nil"/>
              <w:left w:val="nil"/>
              <w:bottom w:val="single" w:sz="4" w:space="0" w:color="auto"/>
              <w:right w:val="single" w:sz="4" w:space="0" w:color="auto"/>
            </w:tcBorders>
            <w:shd w:val="clear" w:color="auto" w:fill="auto"/>
            <w:noWrap/>
            <w:vAlign w:val="center"/>
            <w:hideMark/>
          </w:tcPr>
          <w:p w14:paraId="5A612ACE"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3.500,00</w:t>
            </w:r>
          </w:p>
        </w:tc>
        <w:tc>
          <w:tcPr>
            <w:tcW w:w="1320" w:type="dxa"/>
            <w:tcBorders>
              <w:top w:val="nil"/>
              <w:left w:val="nil"/>
              <w:bottom w:val="single" w:sz="4" w:space="0" w:color="auto"/>
              <w:right w:val="single" w:sz="4" w:space="0" w:color="auto"/>
            </w:tcBorders>
            <w:shd w:val="clear" w:color="auto" w:fill="auto"/>
            <w:noWrap/>
            <w:vAlign w:val="center"/>
            <w:hideMark/>
          </w:tcPr>
          <w:p w14:paraId="5CB3F547"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2.552,81</w:t>
            </w:r>
          </w:p>
        </w:tc>
        <w:tc>
          <w:tcPr>
            <w:tcW w:w="1080" w:type="dxa"/>
            <w:tcBorders>
              <w:top w:val="nil"/>
              <w:left w:val="nil"/>
              <w:bottom w:val="single" w:sz="4" w:space="0" w:color="auto"/>
              <w:right w:val="single" w:sz="4" w:space="0" w:color="auto"/>
            </w:tcBorders>
            <w:shd w:val="clear" w:color="auto" w:fill="auto"/>
            <w:noWrap/>
            <w:vAlign w:val="center"/>
            <w:hideMark/>
          </w:tcPr>
          <w:p w14:paraId="7ED599D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72,94</w:t>
            </w:r>
          </w:p>
        </w:tc>
      </w:tr>
      <w:tr w:rsidR="00065F90" w:rsidRPr="00553AEA" w14:paraId="1E2804C4"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CA8BA75"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6668</w:t>
            </w:r>
          </w:p>
        </w:tc>
        <w:tc>
          <w:tcPr>
            <w:tcW w:w="4320" w:type="dxa"/>
            <w:tcBorders>
              <w:top w:val="nil"/>
              <w:left w:val="nil"/>
              <w:bottom w:val="single" w:sz="4" w:space="0" w:color="auto"/>
              <w:right w:val="single" w:sz="4" w:space="0" w:color="auto"/>
            </w:tcBorders>
            <w:shd w:val="clear" w:color="auto" w:fill="auto"/>
            <w:vAlign w:val="center"/>
            <w:hideMark/>
          </w:tcPr>
          <w:p w14:paraId="4005DE3D"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Трошкови одржавања путничког возила</w:t>
            </w:r>
          </w:p>
        </w:tc>
        <w:tc>
          <w:tcPr>
            <w:tcW w:w="1340" w:type="dxa"/>
            <w:tcBorders>
              <w:top w:val="nil"/>
              <w:left w:val="nil"/>
              <w:bottom w:val="single" w:sz="4" w:space="0" w:color="auto"/>
              <w:right w:val="single" w:sz="4" w:space="0" w:color="auto"/>
            </w:tcBorders>
            <w:shd w:val="clear" w:color="auto" w:fill="auto"/>
            <w:noWrap/>
            <w:vAlign w:val="center"/>
            <w:hideMark/>
          </w:tcPr>
          <w:p w14:paraId="3C2BABCB" w14:textId="77777777" w:rsidR="00065F90" w:rsidRPr="00553AEA" w:rsidRDefault="00065F90" w:rsidP="00065F90">
            <w:pPr>
              <w:jc w:val="right"/>
              <w:rPr>
                <w:rFonts w:ascii="Calibri" w:hAnsi="Calibri"/>
                <w:sz w:val="20"/>
                <w:szCs w:val="20"/>
              </w:rPr>
            </w:pPr>
            <w:r w:rsidRPr="00553AEA">
              <w:rPr>
                <w:rFonts w:ascii="Calibri" w:hAnsi="Calibri"/>
                <w:sz w:val="20"/>
                <w:szCs w:val="20"/>
                <w:lang w:val="sr-Cyrl-BA"/>
              </w:rPr>
              <w:t>8.000,00</w:t>
            </w:r>
          </w:p>
        </w:tc>
        <w:tc>
          <w:tcPr>
            <w:tcW w:w="1320" w:type="dxa"/>
            <w:tcBorders>
              <w:top w:val="nil"/>
              <w:left w:val="nil"/>
              <w:bottom w:val="single" w:sz="4" w:space="0" w:color="auto"/>
              <w:right w:val="single" w:sz="4" w:space="0" w:color="auto"/>
            </w:tcBorders>
            <w:shd w:val="clear" w:color="auto" w:fill="auto"/>
            <w:noWrap/>
            <w:vAlign w:val="center"/>
            <w:hideMark/>
          </w:tcPr>
          <w:p w14:paraId="726A5838"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5.314,66</w:t>
            </w:r>
          </w:p>
        </w:tc>
        <w:tc>
          <w:tcPr>
            <w:tcW w:w="1080" w:type="dxa"/>
            <w:tcBorders>
              <w:top w:val="nil"/>
              <w:left w:val="nil"/>
              <w:bottom w:val="single" w:sz="4" w:space="0" w:color="auto"/>
              <w:right w:val="single" w:sz="4" w:space="0" w:color="auto"/>
            </w:tcBorders>
            <w:shd w:val="clear" w:color="auto" w:fill="auto"/>
            <w:noWrap/>
            <w:vAlign w:val="center"/>
            <w:hideMark/>
          </w:tcPr>
          <w:p w14:paraId="74C75580"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66,43</w:t>
            </w:r>
          </w:p>
        </w:tc>
      </w:tr>
      <w:tr w:rsidR="00065F90" w:rsidRPr="00553AEA" w14:paraId="7CA95213"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004B9106"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670</w:t>
            </w:r>
          </w:p>
        </w:tc>
        <w:tc>
          <w:tcPr>
            <w:tcW w:w="4320" w:type="dxa"/>
            <w:tcBorders>
              <w:top w:val="nil"/>
              <w:left w:val="nil"/>
              <w:bottom w:val="single" w:sz="4" w:space="0" w:color="auto"/>
              <w:right w:val="single" w:sz="4" w:space="0" w:color="auto"/>
            </w:tcBorders>
            <w:shd w:val="clear" w:color="000000" w:fill="C5D9F1"/>
            <w:vAlign w:val="center"/>
            <w:hideMark/>
          </w:tcPr>
          <w:p w14:paraId="6E074109"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Расход индиректних отписа пласмана</w:t>
            </w:r>
          </w:p>
        </w:tc>
        <w:tc>
          <w:tcPr>
            <w:tcW w:w="1340" w:type="dxa"/>
            <w:tcBorders>
              <w:top w:val="nil"/>
              <w:left w:val="nil"/>
              <w:bottom w:val="single" w:sz="4" w:space="0" w:color="auto"/>
              <w:right w:val="single" w:sz="4" w:space="0" w:color="auto"/>
            </w:tcBorders>
            <w:shd w:val="clear" w:color="000000" w:fill="C5D9F1"/>
            <w:noWrap/>
            <w:vAlign w:val="center"/>
            <w:hideMark/>
          </w:tcPr>
          <w:p w14:paraId="2756D668"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5.000,00</w:t>
            </w:r>
          </w:p>
        </w:tc>
        <w:tc>
          <w:tcPr>
            <w:tcW w:w="1320" w:type="dxa"/>
            <w:tcBorders>
              <w:top w:val="nil"/>
              <w:left w:val="nil"/>
              <w:bottom w:val="single" w:sz="4" w:space="0" w:color="auto"/>
              <w:right w:val="single" w:sz="4" w:space="0" w:color="auto"/>
            </w:tcBorders>
            <w:shd w:val="clear" w:color="000000" w:fill="C5D9F1"/>
            <w:noWrap/>
            <w:vAlign w:val="center"/>
            <w:hideMark/>
          </w:tcPr>
          <w:p w14:paraId="496C1771"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28.472,77</w:t>
            </w:r>
          </w:p>
        </w:tc>
        <w:tc>
          <w:tcPr>
            <w:tcW w:w="1080" w:type="dxa"/>
            <w:tcBorders>
              <w:top w:val="nil"/>
              <w:left w:val="nil"/>
              <w:bottom w:val="single" w:sz="4" w:space="0" w:color="auto"/>
              <w:right w:val="single" w:sz="4" w:space="0" w:color="auto"/>
            </w:tcBorders>
            <w:shd w:val="clear" w:color="000000" w:fill="C5D9F1"/>
            <w:noWrap/>
            <w:vAlign w:val="center"/>
            <w:hideMark/>
          </w:tcPr>
          <w:p w14:paraId="52CC24B7"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569,46</w:t>
            </w:r>
          </w:p>
        </w:tc>
      </w:tr>
      <w:tr w:rsidR="00065F90" w:rsidRPr="00553AEA" w14:paraId="5371C922"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6BE9BB1"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6701</w:t>
            </w:r>
          </w:p>
        </w:tc>
        <w:tc>
          <w:tcPr>
            <w:tcW w:w="4320" w:type="dxa"/>
            <w:tcBorders>
              <w:top w:val="nil"/>
              <w:left w:val="nil"/>
              <w:bottom w:val="single" w:sz="4" w:space="0" w:color="auto"/>
              <w:right w:val="single" w:sz="4" w:space="0" w:color="auto"/>
            </w:tcBorders>
            <w:shd w:val="clear" w:color="auto" w:fill="auto"/>
            <w:vAlign w:val="center"/>
            <w:hideMark/>
          </w:tcPr>
          <w:p w14:paraId="59678148"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Расходи по основу отписа премије за ризик</w:t>
            </w:r>
          </w:p>
        </w:tc>
        <w:tc>
          <w:tcPr>
            <w:tcW w:w="1340" w:type="dxa"/>
            <w:tcBorders>
              <w:top w:val="nil"/>
              <w:left w:val="nil"/>
              <w:bottom w:val="single" w:sz="4" w:space="0" w:color="auto"/>
              <w:right w:val="single" w:sz="4" w:space="0" w:color="auto"/>
            </w:tcBorders>
            <w:shd w:val="clear" w:color="auto" w:fill="auto"/>
            <w:noWrap/>
            <w:vAlign w:val="center"/>
            <w:hideMark/>
          </w:tcPr>
          <w:p w14:paraId="72D798E5"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5.000,00</w:t>
            </w:r>
          </w:p>
        </w:tc>
        <w:tc>
          <w:tcPr>
            <w:tcW w:w="1320" w:type="dxa"/>
            <w:tcBorders>
              <w:top w:val="nil"/>
              <w:left w:val="nil"/>
              <w:bottom w:val="single" w:sz="4" w:space="0" w:color="auto"/>
              <w:right w:val="single" w:sz="4" w:space="0" w:color="auto"/>
            </w:tcBorders>
            <w:shd w:val="clear" w:color="auto" w:fill="auto"/>
            <w:noWrap/>
            <w:vAlign w:val="center"/>
            <w:hideMark/>
          </w:tcPr>
          <w:p w14:paraId="54117F0D"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27.752,81</w:t>
            </w:r>
          </w:p>
        </w:tc>
        <w:tc>
          <w:tcPr>
            <w:tcW w:w="1080" w:type="dxa"/>
            <w:tcBorders>
              <w:top w:val="nil"/>
              <w:left w:val="nil"/>
              <w:bottom w:val="single" w:sz="4" w:space="0" w:color="auto"/>
              <w:right w:val="single" w:sz="4" w:space="0" w:color="auto"/>
            </w:tcBorders>
            <w:shd w:val="clear" w:color="auto" w:fill="auto"/>
            <w:noWrap/>
            <w:vAlign w:val="center"/>
            <w:hideMark/>
          </w:tcPr>
          <w:p w14:paraId="3E440B49"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555,06</w:t>
            </w:r>
          </w:p>
        </w:tc>
      </w:tr>
      <w:tr w:rsidR="00065F90" w:rsidRPr="00553AEA" w14:paraId="411831D7"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F3E007B"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6720</w:t>
            </w:r>
          </w:p>
        </w:tc>
        <w:tc>
          <w:tcPr>
            <w:tcW w:w="4320" w:type="dxa"/>
            <w:tcBorders>
              <w:top w:val="nil"/>
              <w:left w:val="nil"/>
              <w:bottom w:val="single" w:sz="4" w:space="0" w:color="auto"/>
              <w:right w:val="single" w:sz="4" w:space="0" w:color="auto"/>
            </w:tcBorders>
            <w:shd w:val="clear" w:color="auto" w:fill="auto"/>
            <w:vAlign w:val="center"/>
            <w:hideMark/>
          </w:tcPr>
          <w:p w14:paraId="18A55470"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Ауто гуме у употреби</w:t>
            </w:r>
          </w:p>
        </w:tc>
        <w:tc>
          <w:tcPr>
            <w:tcW w:w="1340" w:type="dxa"/>
            <w:tcBorders>
              <w:top w:val="nil"/>
              <w:left w:val="nil"/>
              <w:bottom w:val="single" w:sz="4" w:space="0" w:color="auto"/>
              <w:right w:val="single" w:sz="4" w:space="0" w:color="auto"/>
            </w:tcBorders>
            <w:shd w:val="clear" w:color="auto" w:fill="auto"/>
            <w:noWrap/>
            <w:vAlign w:val="center"/>
            <w:hideMark/>
          </w:tcPr>
          <w:p w14:paraId="19A519C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6DDB30B3"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719,96</w:t>
            </w:r>
          </w:p>
        </w:tc>
        <w:tc>
          <w:tcPr>
            <w:tcW w:w="1080" w:type="dxa"/>
            <w:tcBorders>
              <w:top w:val="nil"/>
              <w:left w:val="nil"/>
              <w:bottom w:val="single" w:sz="4" w:space="0" w:color="auto"/>
              <w:right w:val="single" w:sz="4" w:space="0" w:color="auto"/>
            </w:tcBorders>
            <w:shd w:val="clear" w:color="auto" w:fill="auto"/>
            <w:noWrap/>
            <w:vAlign w:val="center"/>
            <w:hideMark/>
          </w:tcPr>
          <w:p w14:paraId="0CE82676"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09CE4415" w14:textId="77777777" w:rsidTr="009634B9">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583CEF0E"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678</w:t>
            </w:r>
          </w:p>
        </w:tc>
        <w:tc>
          <w:tcPr>
            <w:tcW w:w="4320" w:type="dxa"/>
            <w:tcBorders>
              <w:top w:val="nil"/>
              <w:left w:val="nil"/>
              <w:bottom w:val="single" w:sz="4" w:space="0" w:color="auto"/>
              <w:right w:val="single" w:sz="4" w:space="0" w:color="auto"/>
            </w:tcBorders>
            <w:shd w:val="clear" w:color="000000" w:fill="C5D9F1"/>
            <w:vAlign w:val="center"/>
            <w:hideMark/>
          </w:tcPr>
          <w:p w14:paraId="34ABBFC8" w14:textId="77777777" w:rsidR="00065F90" w:rsidRPr="00553AEA" w:rsidRDefault="00065F90" w:rsidP="00065F90">
            <w:pPr>
              <w:jc w:val="left"/>
              <w:rPr>
                <w:rFonts w:ascii="Calibri" w:hAnsi="Calibri"/>
                <w:b/>
                <w:bCs/>
                <w:sz w:val="20"/>
                <w:szCs w:val="20"/>
              </w:rPr>
            </w:pPr>
            <w:r w:rsidRPr="00553AEA">
              <w:rPr>
                <w:rFonts w:ascii="Calibri" w:hAnsi="Calibri"/>
                <w:b/>
                <w:bCs/>
                <w:sz w:val="20"/>
                <w:szCs w:val="20"/>
                <w:lang w:val="sr-Latn-RS"/>
              </w:rPr>
              <w:t>Остали расходи</w:t>
            </w:r>
          </w:p>
        </w:tc>
        <w:tc>
          <w:tcPr>
            <w:tcW w:w="1340" w:type="dxa"/>
            <w:tcBorders>
              <w:top w:val="nil"/>
              <w:left w:val="nil"/>
              <w:bottom w:val="single" w:sz="4" w:space="0" w:color="auto"/>
              <w:right w:val="single" w:sz="4" w:space="0" w:color="auto"/>
            </w:tcBorders>
            <w:shd w:val="clear" w:color="000000" w:fill="C5D9F1"/>
            <w:noWrap/>
            <w:vAlign w:val="center"/>
            <w:hideMark/>
          </w:tcPr>
          <w:p w14:paraId="3BE93160"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7.500,00</w:t>
            </w:r>
          </w:p>
        </w:tc>
        <w:tc>
          <w:tcPr>
            <w:tcW w:w="1320" w:type="dxa"/>
            <w:tcBorders>
              <w:top w:val="nil"/>
              <w:left w:val="nil"/>
              <w:bottom w:val="single" w:sz="4" w:space="0" w:color="auto"/>
              <w:right w:val="single" w:sz="4" w:space="0" w:color="auto"/>
            </w:tcBorders>
            <w:shd w:val="clear" w:color="000000" w:fill="C5D9F1"/>
            <w:noWrap/>
            <w:vAlign w:val="center"/>
            <w:hideMark/>
          </w:tcPr>
          <w:p w14:paraId="7C1801EB"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420,26</w:t>
            </w:r>
          </w:p>
        </w:tc>
        <w:tc>
          <w:tcPr>
            <w:tcW w:w="1080" w:type="dxa"/>
            <w:tcBorders>
              <w:top w:val="nil"/>
              <w:left w:val="nil"/>
              <w:bottom w:val="single" w:sz="4" w:space="0" w:color="auto"/>
              <w:right w:val="single" w:sz="4" w:space="0" w:color="auto"/>
            </w:tcBorders>
            <w:shd w:val="clear" w:color="000000" w:fill="C5D9F1"/>
            <w:noWrap/>
            <w:vAlign w:val="center"/>
            <w:hideMark/>
          </w:tcPr>
          <w:p w14:paraId="400E909A"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5,60</w:t>
            </w:r>
          </w:p>
        </w:tc>
      </w:tr>
      <w:tr w:rsidR="00065F90" w:rsidRPr="00553AEA" w14:paraId="5D1FA9F5"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9168ED4"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Cyrl-BA"/>
              </w:rPr>
              <w:t>680</w:t>
            </w:r>
          </w:p>
        </w:tc>
        <w:tc>
          <w:tcPr>
            <w:tcW w:w="4320" w:type="dxa"/>
            <w:tcBorders>
              <w:top w:val="nil"/>
              <w:left w:val="nil"/>
              <w:bottom w:val="single" w:sz="4" w:space="0" w:color="auto"/>
              <w:right w:val="single" w:sz="4" w:space="0" w:color="auto"/>
            </w:tcBorders>
            <w:shd w:val="clear" w:color="auto" w:fill="auto"/>
            <w:vAlign w:val="center"/>
            <w:hideMark/>
          </w:tcPr>
          <w:p w14:paraId="01723383" w14:textId="77777777" w:rsidR="00065F90" w:rsidRPr="00553AEA" w:rsidRDefault="00065F90" w:rsidP="00065F90">
            <w:pPr>
              <w:jc w:val="left"/>
              <w:rPr>
                <w:rFonts w:ascii="Calibri" w:hAnsi="Calibri"/>
                <w:sz w:val="20"/>
                <w:szCs w:val="20"/>
              </w:rPr>
            </w:pPr>
            <w:r w:rsidRPr="00553AEA">
              <w:rPr>
                <w:rFonts w:ascii="Calibri" w:hAnsi="Calibri"/>
                <w:sz w:val="20"/>
                <w:szCs w:val="20"/>
                <w:lang w:val="sr-Cyrl-BA"/>
              </w:rPr>
              <w:t>Негативне курсне разлике</w:t>
            </w:r>
          </w:p>
        </w:tc>
        <w:tc>
          <w:tcPr>
            <w:tcW w:w="1340" w:type="dxa"/>
            <w:tcBorders>
              <w:top w:val="nil"/>
              <w:left w:val="nil"/>
              <w:bottom w:val="single" w:sz="4" w:space="0" w:color="auto"/>
              <w:right w:val="single" w:sz="4" w:space="0" w:color="auto"/>
            </w:tcBorders>
            <w:shd w:val="clear" w:color="auto" w:fill="auto"/>
            <w:noWrap/>
            <w:vAlign w:val="center"/>
            <w:hideMark/>
          </w:tcPr>
          <w:p w14:paraId="152EC990"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3EF749CB"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42,82</w:t>
            </w:r>
          </w:p>
        </w:tc>
        <w:tc>
          <w:tcPr>
            <w:tcW w:w="1080" w:type="dxa"/>
            <w:tcBorders>
              <w:top w:val="nil"/>
              <w:left w:val="nil"/>
              <w:bottom w:val="single" w:sz="4" w:space="0" w:color="auto"/>
              <w:right w:val="single" w:sz="4" w:space="0" w:color="auto"/>
            </w:tcBorders>
            <w:shd w:val="clear" w:color="auto" w:fill="auto"/>
            <w:noWrap/>
            <w:vAlign w:val="center"/>
            <w:hideMark/>
          </w:tcPr>
          <w:p w14:paraId="2FD6C3BB"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7CB4D10E" w14:textId="77777777" w:rsidTr="009634B9">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2C811B8" w14:textId="77777777" w:rsidR="00065F90" w:rsidRPr="00553AEA" w:rsidRDefault="00065F90" w:rsidP="00065F90">
            <w:pPr>
              <w:jc w:val="center"/>
              <w:rPr>
                <w:rFonts w:ascii="Calibri" w:hAnsi="Calibri"/>
                <w:sz w:val="20"/>
                <w:szCs w:val="20"/>
              </w:rPr>
            </w:pPr>
            <w:r w:rsidRPr="00553AEA">
              <w:rPr>
                <w:rFonts w:ascii="Calibri" w:hAnsi="Calibri"/>
                <w:sz w:val="20"/>
                <w:szCs w:val="20"/>
                <w:lang w:val="sr-Latn-RS"/>
              </w:rPr>
              <w:t>6783</w:t>
            </w:r>
          </w:p>
        </w:tc>
        <w:tc>
          <w:tcPr>
            <w:tcW w:w="4320" w:type="dxa"/>
            <w:tcBorders>
              <w:top w:val="nil"/>
              <w:left w:val="nil"/>
              <w:bottom w:val="single" w:sz="4" w:space="0" w:color="auto"/>
              <w:right w:val="single" w:sz="4" w:space="0" w:color="auto"/>
            </w:tcBorders>
            <w:shd w:val="clear" w:color="auto" w:fill="auto"/>
            <w:vAlign w:val="center"/>
            <w:hideMark/>
          </w:tcPr>
          <w:p w14:paraId="705C8107" w14:textId="77777777" w:rsidR="00065F90" w:rsidRPr="00553AEA" w:rsidRDefault="00065F90" w:rsidP="00065F90">
            <w:pPr>
              <w:jc w:val="left"/>
              <w:rPr>
                <w:rFonts w:ascii="Calibri" w:hAnsi="Calibri"/>
                <w:sz w:val="20"/>
                <w:szCs w:val="20"/>
              </w:rPr>
            </w:pPr>
            <w:r w:rsidRPr="00553AEA">
              <w:rPr>
                <w:rFonts w:ascii="Calibri" w:hAnsi="Calibri"/>
                <w:sz w:val="20"/>
                <w:szCs w:val="20"/>
                <w:lang w:val="sr-Latn-RS"/>
              </w:rPr>
              <w:t>Остали расходи</w:t>
            </w:r>
          </w:p>
        </w:tc>
        <w:tc>
          <w:tcPr>
            <w:tcW w:w="1340" w:type="dxa"/>
            <w:tcBorders>
              <w:top w:val="nil"/>
              <w:left w:val="nil"/>
              <w:bottom w:val="single" w:sz="4" w:space="0" w:color="auto"/>
              <w:right w:val="single" w:sz="4" w:space="0" w:color="auto"/>
            </w:tcBorders>
            <w:shd w:val="clear" w:color="auto" w:fill="auto"/>
            <w:noWrap/>
            <w:vAlign w:val="center"/>
            <w:hideMark/>
          </w:tcPr>
          <w:p w14:paraId="27CEEACC"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Latn-RS"/>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48125453" w14:textId="77777777" w:rsidR="00065F90" w:rsidRPr="00553AEA" w:rsidRDefault="00065F90" w:rsidP="00065F90">
            <w:pPr>
              <w:jc w:val="right"/>
              <w:rPr>
                <w:rFonts w:ascii="Calibri" w:hAnsi="Calibri"/>
                <w:color w:val="auto"/>
                <w:sz w:val="20"/>
                <w:szCs w:val="20"/>
              </w:rPr>
            </w:pPr>
            <w:r w:rsidRPr="00553AEA">
              <w:rPr>
                <w:rFonts w:ascii="Calibri" w:hAnsi="Calibri"/>
                <w:color w:val="auto"/>
                <w:sz w:val="20"/>
                <w:szCs w:val="20"/>
                <w:lang w:val="sr-Cyrl-BA"/>
              </w:rPr>
              <w:t>377,44</w:t>
            </w:r>
          </w:p>
        </w:tc>
        <w:tc>
          <w:tcPr>
            <w:tcW w:w="1080" w:type="dxa"/>
            <w:tcBorders>
              <w:top w:val="nil"/>
              <w:left w:val="nil"/>
              <w:bottom w:val="single" w:sz="4" w:space="0" w:color="auto"/>
              <w:right w:val="single" w:sz="4" w:space="0" w:color="auto"/>
            </w:tcBorders>
            <w:shd w:val="clear" w:color="auto" w:fill="auto"/>
            <w:noWrap/>
            <w:vAlign w:val="center"/>
            <w:hideMark/>
          </w:tcPr>
          <w:p w14:paraId="0239C12F" w14:textId="77777777" w:rsidR="00065F90" w:rsidRPr="00553AEA" w:rsidRDefault="00065F90" w:rsidP="00065F90">
            <w:pPr>
              <w:jc w:val="center"/>
              <w:rPr>
                <w:rFonts w:ascii="Calibri" w:hAnsi="Calibri"/>
                <w:sz w:val="20"/>
                <w:szCs w:val="20"/>
              </w:rPr>
            </w:pPr>
            <w:r w:rsidRPr="00553AEA">
              <w:rPr>
                <w:rFonts w:ascii="Calibri" w:hAnsi="Calibri"/>
                <w:sz w:val="20"/>
                <w:szCs w:val="20"/>
              </w:rPr>
              <w:t> </w:t>
            </w:r>
          </w:p>
        </w:tc>
      </w:tr>
      <w:tr w:rsidR="00065F90" w:rsidRPr="00553AEA" w14:paraId="08C0AA18" w14:textId="77777777" w:rsidTr="009634B9">
        <w:trPr>
          <w:trHeight w:val="423"/>
        </w:trPr>
        <w:tc>
          <w:tcPr>
            <w:tcW w:w="5200"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3FC51401"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Укупно трошкови</w:t>
            </w:r>
          </w:p>
        </w:tc>
        <w:tc>
          <w:tcPr>
            <w:tcW w:w="1340" w:type="dxa"/>
            <w:tcBorders>
              <w:top w:val="nil"/>
              <w:left w:val="nil"/>
              <w:bottom w:val="single" w:sz="4" w:space="0" w:color="auto"/>
              <w:right w:val="single" w:sz="4" w:space="0" w:color="auto"/>
            </w:tcBorders>
            <w:shd w:val="clear" w:color="000000" w:fill="8DB4E2"/>
            <w:noWrap/>
            <w:vAlign w:val="center"/>
            <w:hideMark/>
          </w:tcPr>
          <w:p w14:paraId="069D35F8"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1.956.615,33</w:t>
            </w:r>
          </w:p>
        </w:tc>
        <w:tc>
          <w:tcPr>
            <w:tcW w:w="1320" w:type="dxa"/>
            <w:tcBorders>
              <w:top w:val="nil"/>
              <w:left w:val="nil"/>
              <w:bottom w:val="single" w:sz="4" w:space="0" w:color="auto"/>
              <w:right w:val="single" w:sz="4" w:space="0" w:color="auto"/>
            </w:tcBorders>
            <w:shd w:val="clear" w:color="000000" w:fill="8DB4E2"/>
            <w:noWrap/>
            <w:vAlign w:val="center"/>
            <w:hideMark/>
          </w:tcPr>
          <w:p w14:paraId="582C2922"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1.965.356,65</w:t>
            </w:r>
          </w:p>
        </w:tc>
        <w:tc>
          <w:tcPr>
            <w:tcW w:w="1080" w:type="dxa"/>
            <w:tcBorders>
              <w:top w:val="nil"/>
              <w:left w:val="nil"/>
              <w:bottom w:val="single" w:sz="4" w:space="0" w:color="auto"/>
              <w:right w:val="single" w:sz="4" w:space="0" w:color="auto"/>
            </w:tcBorders>
            <w:shd w:val="clear" w:color="000000" w:fill="8DB4E2"/>
            <w:noWrap/>
            <w:vAlign w:val="center"/>
            <w:hideMark/>
          </w:tcPr>
          <w:p w14:paraId="3132E67A"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100,45</w:t>
            </w:r>
          </w:p>
        </w:tc>
      </w:tr>
      <w:tr w:rsidR="00065F90" w:rsidRPr="00553AEA" w14:paraId="359FFB8A" w14:textId="77777777" w:rsidTr="009634B9">
        <w:trPr>
          <w:trHeight w:val="414"/>
        </w:trPr>
        <w:tc>
          <w:tcPr>
            <w:tcW w:w="5200"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624A110A"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Latn-RS"/>
              </w:rPr>
              <w:t>УКУПНО РАСХОДИ</w:t>
            </w:r>
          </w:p>
        </w:tc>
        <w:tc>
          <w:tcPr>
            <w:tcW w:w="1340" w:type="dxa"/>
            <w:tcBorders>
              <w:top w:val="nil"/>
              <w:left w:val="nil"/>
              <w:bottom w:val="single" w:sz="4" w:space="0" w:color="auto"/>
              <w:right w:val="single" w:sz="4" w:space="0" w:color="auto"/>
            </w:tcBorders>
            <w:shd w:val="clear" w:color="000000" w:fill="8DB4E2"/>
            <w:noWrap/>
            <w:vAlign w:val="center"/>
            <w:hideMark/>
          </w:tcPr>
          <w:p w14:paraId="4E7CA0EC" w14:textId="77777777" w:rsidR="00065F90" w:rsidRPr="00553AEA" w:rsidRDefault="00065F90" w:rsidP="00065F90">
            <w:pPr>
              <w:jc w:val="right"/>
              <w:rPr>
                <w:rFonts w:ascii="Calibri" w:hAnsi="Calibri"/>
                <w:b/>
                <w:bCs/>
                <w:sz w:val="20"/>
                <w:szCs w:val="20"/>
              </w:rPr>
            </w:pPr>
            <w:r w:rsidRPr="00553AEA">
              <w:rPr>
                <w:rFonts w:ascii="Calibri" w:hAnsi="Calibri"/>
                <w:b/>
                <w:bCs/>
                <w:sz w:val="20"/>
                <w:szCs w:val="20"/>
                <w:lang w:val="sr-Cyrl-BA"/>
              </w:rPr>
              <w:t>2.176.615,33</w:t>
            </w:r>
          </w:p>
        </w:tc>
        <w:tc>
          <w:tcPr>
            <w:tcW w:w="1320" w:type="dxa"/>
            <w:tcBorders>
              <w:top w:val="nil"/>
              <w:left w:val="nil"/>
              <w:bottom w:val="single" w:sz="4" w:space="0" w:color="auto"/>
              <w:right w:val="single" w:sz="4" w:space="0" w:color="auto"/>
            </w:tcBorders>
            <w:shd w:val="clear" w:color="000000" w:fill="8DB4E2"/>
            <w:noWrap/>
            <w:vAlign w:val="center"/>
            <w:hideMark/>
          </w:tcPr>
          <w:p w14:paraId="1E3653FB" w14:textId="77777777" w:rsidR="00065F90" w:rsidRPr="00553AEA" w:rsidRDefault="00065F90" w:rsidP="00065F90">
            <w:pPr>
              <w:jc w:val="right"/>
              <w:rPr>
                <w:rFonts w:ascii="Calibri" w:hAnsi="Calibri"/>
                <w:b/>
                <w:bCs/>
                <w:color w:val="auto"/>
                <w:sz w:val="20"/>
                <w:szCs w:val="20"/>
              </w:rPr>
            </w:pPr>
            <w:r w:rsidRPr="00553AEA">
              <w:rPr>
                <w:rFonts w:ascii="Calibri" w:hAnsi="Calibri"/>
                <w:b/>
                <w:bCs/>
                <w:color w:val="auto"/>
                <w:sz w:val="20"/>
                <w:szCs w:val="20"/>
                <w:lang w:val="sr-Cyrl-BA"/>
              </w:rPr>
              <w:t>3.062.064,17</w:t>
            </w:r>
          </w:p>
        </w:tc>
        <w:tc>
          <w:tcPr>
            <w:tcW w:w="1080" w:type="dxa"/>
            <w:tcBorders>
              <w:top w:val="nil"/>
              <w:left w:val="nil"/>
              <w:bottom w:val="single" w:sz="4" w:space="0" w:color="auto"/>
              <w:right w:val="single" w:sz="4" w:space="0" w:color="auto"/>
            </w:tcBorders>
            <w:shd w:val="clear" w:color="000000" w:fill="8DB4E2"/>
            <w:noWrap/>
            <w:vAlign w:val="center"/>
            <w:hideMark/>
          </w:tcPr>
          <w:p w14:paraId="25407A49" w14:textId="77777777" w:rsidR="00065F90" w:rsidRPr="00553AEA" w:rsidRDefault="00065F90" w:rsidP="00065F90">
            <w:pPr>
              <w:jc w:val="center"/>
              <w:rPr>
                <w:rFonts w:ascii="Calibri" w:hAnsi="Calibri"/>
                <w:b/>
                <w:bCs/>
                <w:sz w:val="20"/>
                <w:szCs w:val="20"/>
              </w:rPr>
            </w:pPr>
            <w:r w:rsidRPr="00553AEA">
              <w:rPr>
                <w:rFonts w:ascii="Calibri" w:hAnsi="Calibri"/>
                <w:b/>
                <w:bCs/>
                <w:sz w:val="20"/>
                <w:szCs w:val="20"/>
                <w:lang w:val="sr-Cyrl-BA"/>
              </w:rPr>
              <w:t>140,68</w:t>
            </w:r>
          </w:p>
        </w:tc>
      </w:tr>
    </w:tbl>
    <w:p w14:paraId="5581BFBD" w14:textId="77777777" w:rsidR="001538EF" w:rsidRPr="005767EF" w:rsidRDefault="001538EF" w:rsidP="001538EF">
      <w:pPr>
        <w:jc w:val="left"/>
        <w:rPr>
          <w:rFonts w:asciiTheme="minorHAnsi" w:hAnsiTheme="minorHAnsi"/>
          <w:sz w:val="20"/>
          <w:szCs w:val="20"/>
          <w:lang w:val="sr-Cyrl-BA" w:eastAsia="sr-Cyrl-CS"/>
        </w:rPr>
      </w:pPr>
    </w:p>
    <w:p w14:paraId="6DA590FF" w14:textId="77777777" w:rsidR="00713AF5" w:rsidRPr="00687171" w:rsidRDefault="001538EF" w:rsidP="00713AF5">
      <w:pPr>
        <w:rPr>
          <w:rFonts w:asciiTheme="minorHAnsi" w:hAnsiTheme="minorHAnsi"/>
          <w:color w:val="000000" w:themeColor="text1"/>
          <w:sz w:val="20"/>
          <w:szCs w:val="20"/>
          <w:lang w:val="sr-Cyrl-CS" w:eastAsia="sr-Cyrl-CS"/>
        </w:rPr>
      </w:pPr>
      <w:r w:rsidRPr="00713AF5">
        <w:rPr>
          <w:rFonts w:asciiTheme="minorHAnsi" w:hAnsiTheme="minorHAnsi"/>
          <w:color w:val="auto"/>
          <w:sz w:val="20"/>
          <w:szCs w:val="20"/>
          <w:lang w:val="sr-Cyrl-CS" w:eastAsia="sr-Cyrl-CS"/>
        </w:rPr>
        <w:t>У 202</w:t>
      </w:r>
      <w:r w:rsidR="00E16DD7" w:rsidRPr="00713AF5">
        <w:rPr>
          <w:rFonts w:asciiTheme="minorHAnsi" w:hAnsiTheme="minorHAnsi"/>
          <w:color w:val="auto"/>
          <w:sz w:val="20"/>
          <w:szCs w:val="20"/>
          <w:lang w:val="sr-Cyrl-CS" w:eastAsia="sr-Cyrl-CS"/>
        </w:rPr>
        <w:t>3</w:t>
      </w:r>
      <w:r w:rsidRPr="00713AF5">
        <w:rPr>
          <w:rFonts w:asciiTheme="minorHAnsi" w:hAnsiTheme="minorHAnsi"/>
          <w:color w:val="auto"/>
          <w:sz w:val="20"/>
          <w:szCs w:val="20"/>
          <w:lang w:val="sr-Cyrl-CS" w:eastAsia="sr-Cyrl-CS"/>
        </w:rPr>
        <w:t xml:space="preserve">. години Фонд је остварио трошкове </w:t>
      </w:r>
      <w:r w:rsidR="00713AF5" w:rsidRPr="00713AF5">
        <w:rPr>
          <w:rFonts w:asciiTheme="minorHAnsi" w:hAnsiTheme="minorHAnsi"/>
          <w:color w:val="auto"/>
          <w:sz w:val="20"/>
          <w:szCs w:val="20"/>
          <w:lang w:val="sr-Cyrl-CS" w:eastAsia="sr-Cyrl-CS"/>
        </w:rPr>
        <w:t>пословања</w:t>
      </w:r>
      <w:r w:rsidRPr="00713AF5">
        <w:rPr>
          <w:rFonts w:asciiTheme="minorHAnsi" w:hAnsiTheme="minorHAnsi"/>
          <w:color w:val="auto"/>
          <w:sz w:val="20"/>
          <w:szCs w:val="20"/>
          <w:lang w:val="sr-Cyrl-CS" w:eastAsia="sr-Cyrl-CS"/>
        </w:rPr>
        <w:t xml:space="preserve"> у износу од </w:t>
      </w:r>
      <w:r w:rsidR="00713AF5" w:rsidRPr="00713AF5">
        <w:rPr>
          <w:rFonts w:asciiTheme="minorHAnsi" w:hAnsiTheme="minorHAnsi"/>
          <w:color w:val="auto"/>
          <w:sz w:val="20"/>
          <w:szCs w:val="20"/>
          <w:lang w:val="sr-Cyrl-CS" w:eastAsia="sr-Cyrl-CS"/>
        </w:rPr>
        <w:t>1.965.356,65</w:t>
      </w:r>
      <w:r w:rsidR="00E16DD7" w:rsidRPr="00713AF5">
        <w:rPr>
          <w:rFonts w:asciiTheme="minorHAnsi" w:hAnsiTheme="minorHAnsi"/>
          <w:color w:val="auto"/>
          <w:sz w:val="20"/>
          <w:szCs w:val="20"/>
          <w:lang w:val="sr-Cyrl-CS" w:eastAsia="sr-Cyrl-CS"/>
        </w:rPr>
        <w:t xml:space="preserve"> КМ, док су укупни расходи износили</w:t>
      </w:r>
      <w:r w:rsidRPr="00713AF5">
        <w:rPr>
          <w:rFonts w:asciiTheme="minorHAnsi" w:hAnsiTheme="minorHAnsi"/>
          <w:color w:val="auto"/>
          <w:sz w:val="20"/>
          <w:szCs w:val="20"/>
          <w:lang w:val="sr-Cyrl-CS" w:eastAsia="sr-Cyrl-CS"/>
        </w:rPr>
        <w:t xml:space="preserve"> </w:t>
      </w:r>
      <w:r w:rsidR="0074097F" w:rsidRPr="00713AF5">
        <w:rPr>
          <w:rFonts w:asciiTheme="minorHAnsi" w:hAnsiTheme="minorHAnsi"/>
          <w:color w:val="auto"/>
          <w:sz w:val="20"/>
          <w:szCs w:val="20"/>
          <w:lang w:val="sr-Cyrl-CS" w:eastAsia="sr-Cyrl-CS"/>
        </w:rPr>
        <w:t>3.062.064,17</w:t>
      </w:r>
      <w:r w:rsidR="00E16DD7" w:rsidRPr="00713AF5">
        <w:rPr>
          <w:rFonts w:asciiTheme="minorHAnsi" w:hAnsiTheme="minorHAnsi"/>
          <w:color w:val="auto"/>
          <w:sz w:val="20"/>
          <w:szCs w:val="20"/>
          <w:lang w:val="sr-Cyrl-CS" w:eastAsia="sr-Cyrl-CS"/>
        </w:rPr>
        <w:t xml:space="preserve"> КМ. Разлику </w:t>
      </w:r>
      <w:r w:rsidR="00713AF5">
        <w:rPr>
          <w:rFonts w:asciiTheme="minorHAnsi" w:hAnsiTheme="minorHAnsi"/>
          <w:color w:val="auto"/>
          <w:sz w:val="20"/>
          <w:szCs w:val="20"/>
          <w:lang w:val="sr-Cyrl-CS" w:eastAsia="sr-Cyrl-CS"/>
        </w:rPr>
        <w:t xml:space="preserve">у износу од 1.096.707,62 КМ </w:t>
      </w:r>
      <w:r w:rsidR="00E16DD7" w:rsidRPr="00713AF5">
        <w:rPr>
          <w:rFonts w:asciiTheme="minorHAnsi" w:hAnsiTheme="minorHAnsi"/>
          <w:color w:val="auto"/>
          <w:sz w:val="20"/>
          <w:szCs w:val="20"/>
          <w:lang w:val="sr-Cyrl-CS" w:eastAsia="sr-Cyrl-CS"/>
        </w:rPr>
        <w:t>између остварених трошкова и укупних расхода чине резервисања</w:t>
      </w:r>
      <w:r w:rsidRPr="00713AF5">
        <w:rPr>
          <w:rFonts w:asciiTheme="minorHAnsi" w:hAnsiTheme="minorHAnsi"/>
          <w:color w:val="auto"/>
          <w:sz w:val="20"/>
          <w:szCs w:val="20"/>
          <w:lang w:val="sr-Cyrl-CS" w:eastAsia="sr-Cyrl-CS"/>
        </w:rPr>
        <w:t xml:space="preserve"> </w:t>
      </w:r>
      <w:r w:rsidR="00713AF5">
        <w:rPr>
          <w:rFonts w:asciiTheme="minorHAnsi" w:hAnsiTheme="minorHAnsi"/>
          <w:color w:val="auto"/>
          <w:sz w:val="20"/>
          <w:szCs w:val="20"/>
          <w:lang w:val="sr-Cyrl-BA" w:eastAsia="sr-Latn-RS"/>
        </w:rPr>
        <w:t xml:space="preserve">по ванбилансној активи у износу од 752.467,91 КМ, расходи </w:t>
      </w:r>
      <w:r w:rsidR="00713AF5" w:rsidRPr="00B84B91">
        <w:rPr>
          <w:rFonts w:asciiTheme="minorHAnsi" w:hAnsiTheme="minorHAnsi"/>
          <w:color w:val="000000" w:themeColor="text1"/>
          <w:sz w:val="20"/>
          <w:szCs w:val="20"/>
          <w:lang w:val="sr-Cyrl-BA" w:eastAsia="sr-Latn-RS"/>
        </w:rPr>
        <w:t xml:space="preserve">камата и </w:t>
      </w:r>
      <w:r w:rsidR="00713AF5" w:rsidRPr="00687171">
        <w:rPr>
          <w:rFonts w:asciiTheme="minorHAnsi" w:hAnsiTheme="minorHAnsi"/>
          <w:color w:val="000000" w:themeColor="text1"/>
          <w:sz w:val="20"/>
          <w:szCs w:val="20"/>
          <w:lang w:val="sr-Cyrl-BA" w:eastAsia="sr-Latn-RS"/>
        </w:rPr>
        <w:t xml:space="preserve">накнада у износу од 281.097,38 КМ и </w:t>
      </w:r>
      <w:r w:rsidR="00713AF5" w:rsidRPr="00687171">
        <w:rPr>
          <w:rFonts w:asciiTheme="minorHAnsi" w:hAnsiTheme="minorHAnsi"/>
          <w:color w:val="000000" w:themeColor="text1"/>
          <w:sz w:val="20"/>
          <w:szCs w:val="20"/>
          <w:lang w:val="sr-Cyrl-CS" w:eastAsia="sr-Cyrl-CS"/>
        </w:rPr>
        <w:t xml:space="preserve">расходи по основу престанка признавања финансијских средстава у износу од 63.142,23, а који највећим дијелом обухватају губитке по основу </w:t>
      </w:r>
      <w:r w:rsidR="00687171" w:rsidRPr="00687171">
        <w:rPr>
          <w:rFonts w:asciiTheme="minorHAnsi" w:hAnsiTheme="minorHAnsi"/>
          <w:color w:val="000000" w:themeColor="text1"/>
          <w:sz w:val="20"/>
          <w:szCs w:val="20"/>
          <w:lang w:val="sr-Cyrl-CS" w:eastAsia="sr-Cyrl-CS"/>
        </w:rPr>
        <w:t xml:space="preserve">усклађивања </w:t>
      </w:r>
      <w:r w:rsidR="00713AF5" w:rsidRPr="00687171">
        <w:rPr>
          <w:rFonts w:asciiTheme="minorHAnsi" w:hAnsiTheme="minorHAnsi"/>
          <w:color w:val="000000" w:themeColor="text1"/>
          <w:sz w:val="20"/>
          <w:szCs w:val="20"/>
          <w:lang w:val="sr-Cyrl-CS" w:eastAsia="sr-Cyrl-CS"/>
        </w:rPr>
        <w:t xml:space="preserve">хартија </w:t>
      </w:r>
      <w:r w:rsidR="00687171" w:rsidRPr="00687171">
        <w:rPr>
          <w:rFonts w:asciiTheme="minorHAnsi" w:hAnsiTheme="minorHAnsi"/>
          <w:color w:val="000000" w:themeColor="text1"/>
          <w:sz w:val="20"/>
          <w:szCs w:val="20"/>
          <w:lang w:val="sr-Cyrl-CS" w:eastAsia="sr-Cyrl-CS"/>
        </w:rPr>
        <w:t>које су купљене по већој вриједности од номиналне.</w:t>
      </w:r>
    </w:p>
    <w:p w14:paraId="03B87097" w14:textId="77777777" w:rsidR="00836EF2" w:rsidRPr="00B84B91" w:rsidRDefault="00836EF2" w:rsidP="00713AF5">
      <w:pPr>
        <w:rPr>
          <w:rFonts w:asciiTheme="minorHAnsi" w:hAnsiTheme="minorHAnsi"/>
          <w:color w:val="000000" w:themeColor="text1"/>
          <w:sz w:val="20"/>
          <w:szCs w:val="20"/>
          <w:lang w:val="sr-Cyrl-CS" w:eastAsia="sr-Cyrl-CS"/>
        </w:rPr>
      </w:pPr>
    </w:p>
    <w:p w14:paraId="55C3FE56" w14:textId="77777777" w:rsidR="00D16291" w:rsidRDefault="00713AF5" w:rsidP="001538EF">
      <w:pPr>
        <w:rPr>
          <w:rFonts w:asciiTheme="minorHAnsi" w:hAnsiTheme="minorHAnsi"/>
          <w:color w:val="000000" w:themeColor="text1"/>
          <w:sz w:val="20"/>
          <w:szCs w:val="20"/>
          <w:lang w:val="sr-Cyrl-CS" w:eastAsia="sr-Cyrl-CS"/>
        </w:rPr>
      </w:pPr>
      <w:r w:rsidRPr="00B84B91">
        <w:rPr>
          <w:rFonts w:asciiTheme="minorHAnsi" w:hAnsiTheme="minorHAnsi"/>
          <w:color w:val="000000" w:themeColor="text1"/>
          <w:sz w:val="20"/>
          <w:szCs w:val="20"/>
          <w:lang w:val="sr-Cyrl-CS" w:eastAsia="sr-Cyrl-CS"/>
        </w:rPr>
        <w:t>Посматрано у односу на план за 2023. годину, дошло је до вишеструког повећања расхода. Узрок томе је погоршање финансијске позиције и неуредно измирење обавеза од</w:t>
      </w:r>
      <w:r w:rsidR="00687171">
        <w:rPr>
          <w:rFonts w:asciiTheme="minorHAnsi" w:hAnsiTheme="minorHAnsi"/>
          <w:color w:val="000000" w:themeColor="text1"/>
          <w:sz w:val="20"/>
          <w:szCs w:val="20"/>
          <w:lang w:val="sr-Cyrl-CS" w:eastAsia="sr-Cyrl-CS"/>
        </w:rPr>
        <w:t xml:space="preserve">ређеног броја </w:t>
      </w:r>
      <w:r w:rsidRPr="00B84B91">
        <w:rPr>
          <w:rFonts w:asciiTheme="minorHAnsi" w:hAnsiTheme="minorHAnsi"/>
          <w:color w:val="000000" w:themeColor="text1"/>
          <w:sz w:val="20"/>
          <w:szCs w:val="20"/>
          <w:lang w:val="sr-Cyrl-CS" w:eastAsia="sr-Cyrl-CS"/>
        </w:rPr>
        <w:t xml:space="preserve"> клијената</w:t>
      </w:r>
      <w:r w:rsidR="00F04350" w:rsidRPr="00B84B91">
        <w:rPr>
          <w:rFonts w:asciiTheme="minorHAnsi" w:hAnsiTheme="minorHAnsi"/>
          <w:color w:val="000000" w:themeColor="text1"/>
          <w:sz w:val="20"/>
          <w:szCs w:val="20"/>
          <w:lang w:val="sr-Cyrl-CS" w:eastAsia="sr-Cyrl-CS"/>
        </w:rPr>
        <w:t xml:space="preserve"> у току године</w:t>
      </w:r>
      <w:r w:rsidRPr="00B84B91">
        <w:rPr>
          <w:rFonts w:asciiTheme="minorHAnsi" w:hAnsiTheme="minorHAnsi"/>
          <w:color w:val="000000" w:themeColor="text1"/>
          <w:sz w:val="20"/>
          <w:szCs w:val="20"/>
          <w:lang w:val="sr-Cyrl-CS" w:eastAsia="sr-Cyrl-CS"/>
        </w:rPr>
        <w:t xml:space="preserve">, због чега су </w:t>
      </w:r>
      <w:r w:rsidR="00F04350" w:rsidRPr="00B84B91">
        <w:rPr>
          <w:rFonts w:asciiTheme="minorHAnsi" w:hAnsiTheme="minorHAnsi"/>
          <w:color w:val="000000" w:themeColor="text1"/>
          <w:sz w:val="20"/>
          <w:szCs w:val="20"/>
          <w:lang w:val="sr-Cyrl-CS" w:eastAsia="sr-Cyrl-CS"/>
        </w:rPr>
        <w:t xml:space="preserve">извршена </w:t>
      </w:r>
      <w:r w:rsidRPr="00B84B91">
        <w:rPr>
          <w:rFonts w:asciiTheme="minorHAnsi" w:hAnsiTheme="minorHAnsi"/>
          <w:color w:val="000000" w:themeColor="text1"/>
          <w:sz w:val="20"/>
          <w:szCs w:val="20"/>
          <w:lang w:val="sr-Cyrl-CS" w:eastAsia="sr-Cyrl-CS"/>
        </w:rPr>
        <w:t>резервисања за покриће губитака по изданим гаранцијама</w:t>
      </w:r>
      <w:r w:rsidR="00F04350" w:rsidRPr="00B84B91">
        <w:rPr>
          <w:rFonts w:asciiTheme="minorHAnsi" w:hAnsiTheme="minorHAnsi"/>
          <w:color w:val="000000" w:themeColor="text1"/>
          <w:sz w:val="20"/>
          <w:szCs w:val="20"/>
          <w:lang w:val="sr-Cyrl-CS" w:eastAsia="sr-Cyrl-CS"/>
        </w:rPr>
        <w:t xml:space="preserve"> у четвероструко већем износу у односу на планирани, а све у складу са МСФИ 9.</w:t>
      </w:r>
      <w:r w:rsidRPr="00B84B91">
        <w:rPr>
          <w:rFonts w:asciiTheme="minorHAnsi" w:hAnsiTheme="minorHAnsi"/>
          <w:color w:val="000000" w:themeColor="text1"/>
          <w:sz w:val="20"/>
          <w:szCs w:val="20"/>
          <w:lang w:val="sr-Cyrl-CS" w:eastAsia="sr-Cyrl-CS"/>
        </w:rPr>
        <w:t xml:space="preserve"> </w:t>
      </w:r>
      <w:r w:rsidR="002A1C02" w:rsidRPr="002A1C02">
        <w:rPr>
          <w:rFonts w:asciiTheme="minorHAnsi" w:hAnsiTheme="minorHAnsi"/>
          <w:b/>
          <w:color w:val="000000" w:themeColor="text1"/>
          <w:sz w:val="20"/>
          <w:szCs w:val="20"/>
          <w:lang w:val="sr-Cyrl-CS" w:eastAsia="sr-Cyrl-CS"/>
        </w:rPr>
        <w:t>Расходи резервисања по ванбилансној активи</w:t>
      </w:r>
      <w:r w:rsidR="002A1C02">
        <w:rPr>
          <w:rFonts w:asciiTheme="minorHAnsi" w:hAnsiTheme="minorHAnsi"/>
          <w:color w:val="000000" w:themeColor="text1"/>
          <w:sz w:val="20"/>
          <w:szCs w:val="20"/>
          <w:lang w:val="sr-Cyrl-CS" w:eastAsia="sr-Cyrl-CS"/>
        </w:rPr>
        <w:t xml:space="preserve"> </w:t>
      </w:r>
      <w:r w:rsidR="00D16291">
        <w:rPr>
          <w:rFonts w:asciiTheme="minorHAnsi" w:hAnsiTheme="minorHAnsi"/>
          <w:color w:val="000000" w:themeColor="text1"/>
          <w:sz w:val="20"/>
          <w:szCs w:val="20"/>
          <w:lang w:val="sr-Cyrl-CS" w:eastAsia="sr-Cyrl-CS"/>
        </w:rPr>
        <w:t xml:space="preserve">у 2023. години </w:t>
      </w:r>
      <w:r w:rsidR="002A1C02">
        <w:rPr>
          <w:rFonts w:asciiTheme="minorHAnsi" w:hAnsiTheme="minorHAnsi"/>
          <w:color w:val="000000" w:themeColor="text1"/>
          <w:sz w:val="20"/>
          <w:szCs w:val="20"/>
          <w:lang w:val="sr-Cyrl-CS" w:eastAsia="sr-Cyrl-CS"/>
        </w:rPr>
        <w:t>су износили 752.467,91 КМ</w:t>
      </w:r>
      <w:r w:rsidR="00D16291">
        <w:rPr>
          <w:rFonts w:asciiTheme="minorHAnsi" w:hAnsiTheme="minorHAnsi"/>
          <w:color w:val="000000" w:themeColor="text1"/>
          <w:sz w:val="20"/>
          <w:szCs w:val="20"/>
          <w:lang w:val="sr-Cyrl-CS" w:eastAsia="sr-Cyrl-CS"/>
        </w:rPr>
        <w:t xml:space="preserve">. </w:t>
      </w:r>
      <w:r w:rsidR="00F04350" w:rsidRPr="00B84B91">
        <w:rPr>
          <w:rFonts w:asciiTheme="minorHAnsi" w:hAnsiTheme="minorHAnsi"/>
          <w:color w:val="000000" w:themeColor="text1"/>
          <w:sz w:val="20"/>
          <w:szCs w:val="20"/>
          <w:lang w:val="sr-Cyrl-CS" w:eastAsia="sr-Cyrl-CS"/>
        </w:rPr>
        <w:t>Поред наведеног, током 2023. године завршен је судски поступак у вези са протестованом гаранцијом за клијента Мане комерц д.о.о. Србац. Судском пресудом је установљена обавеза плаћања протестоване гаранције и пратећих трошкова, између осталог и трошка камате. С обзиром на непредвидивост исхода судског поступка, овај расход није уврштен у план за 2023. годину.</w:t>
      </w:r>
      <w:r w:rsidR="00D16291">
        <w:rPr>
          <w:rFonts w:asciiTheme="minorHAnsi" w:hAnsiTheme="minorHAnsi"/>
          <w:color w:val="000000" w:themeColor="text1"/>
          <w:sz w:val="20"/>
          <w:szCs w:val="20"/>
          <w:lang w:val="sr-Cyrl-CS" w:eastAsia="sr-Cyrl-CS"/>
        </w:rPr>
        <w:t xml:space="preserve"> </w:t>
      </w:r>
      <w:r w:rsidR="00D16291" w:rsidRPr="00D16291">
        <w:rPr>
          <w:rFonts w:asciiTheme="minorHAnsi" w:hAnsiTheme="minorHAnsi"/>
          <w:b/>
          <w:color w:val="000000" w:themeColor="text1"/>
          <w:sz w:val="20"/>
          <w:szCs w:val="20"/>
          <w:lang w:val="sr-Cyrl-CS" w:eastAsia="sr-Cyrl-CS"/>
        </w:rPr>
        <w:t xml:space="preserve">Расход камата </w:t>
      </w:r>
      <w:r w:rsidR="00D16291">
        <w:rPr>
          <w:rFonts w:asciiTheme="minorHAnsi" w:hAnsiTheme="minorHAnsi"/>
          <w:color w:val="000000" w:themeColor="text1"/>
          <w:sz w:val="20"/>
          <w:szCs w:val="20"/>
          <w:lang w:val="sr-Cyrl-CS" w:eastAsia="sr-Cyrl-CS"/>
        </w:rPr>
        <w:t>по овом основу у 2023. години је износио 273.319,78 КМ.</w:t>
      </w:r>
    </w:p>
    <w:p w14:paraId="5B010CE5" w14:textId="77777777" w:rsidR="001538EF" w:rsidRPr="00D16291" w:rsidRDefault="007C3977" w:rsidP="001538EF">
      <w:pPr>
        <w:rPr>
          <w:rFonts w:asciiTheme="minorHAnsi" w:hAnsiTheme="minorHAnsi"/>
          <w:color w:val="000000" w:themeColor="text1"/>
          <w:sz w:val="20"/>
          <w:szCs w:val="20"/>
          <w:lang w:val="sr-Cyrl-CS" w:eastAsia="sr-Cyrl-CS"/>
        </w:rPr>
      </w:pPr>
      <w:r w:rsidRPr="00B84B91">
        <w:rPr>
          <w:rFonts w:asciiTheme="minorHAnsi" w:hAnsiTheme="minorHAnsi"/>
          <w:color w:val="000000" w:themeColor="text1"/>
          <w:sz w:val="20"/>
          <w:szCs w:val="20"/>
          <w:lang w:val="sr-Cyrl-CS" w:eastAsia="sr-Cyrl-CS"/>
        </w:rPr>
        <w:t xml:space="preserve">Највећи дио трошкова </w:t>
      </w:r>
      <w:r w:rsidR="00093857">
        <w:rPr>
          <w:rFonts w:asciiTheme="minorHAnsi" w:hAnsiTheme="minorHAnsi"/>
          <w:color w:val="000000" w:themeColor="text1"/>
          <w:sz w:val="20"/>
          <w:szCs w:val="20"/>
          <w:lang w:val="sr-Cyrl-CS" w:eastAsia="sr-Cyrl-CS"/>
        </w:rPr>
        <w:t>Гара</w:t>
      </w:r>
      <w:r w:rsidR="00235313" w:rsidRPr="00B84B91">
        <w:rPr>
          <w:rFonts w:asciiTheme="minorHAnsi" w:hAnsiTheme="minorHAnsi"/>
          <w:color w:val="000000" w:themeColor="text1"/>
          <w:sz w:val="20"/>
          <w:szCs w:val="20"/>
          <w:lang w:val="sr-Cyrl-CS" w:eastAsia="sr-Cyrl-CS"/>
        </w:rPr>
        <w:t>нт</w:t>
      </w:r>
      <w:r w:rsidR="00093857">
        <w:rPr>
          <w:rFonts w:asciiTheme="minorHAnsi" w:hAnsiTheme="minorHAnsi"/>
          <w:color w:val="000000" w:themeColor="text1"/>
          <w:sz w:val="20"/>
          <w:szCs w:val="20"/>
          <w:lang w:val="sr-Cyrl-CS" w:eastAsia="sr-Cyrl-CS"/>
        </w:rPr>
        <w:t>н</w:t>
      </w:r>
      <w:r w:rsidR="00235313" w:rsidRPr="00B84B91">
        <w:rPr>
          <w:rFonts w:asciiTheme="minorHAnsi" w:hAnsiTheme="minorHAnsi"/>
          <w:color w:val="000000" w:themeColor="text1"/>
          <w:sz w:val="20"/>
          <w:szCs w:val="20"/>
          <w:lang w:val="sr-Cyrl-CS" w:eastAsia="sr-Cyrl-CS"/>
        </w:rPr>
        <w:t xml:space="preserve">ог фонда </w:t>
      </w:r>
      <w:r w:rsidRPr="00B84B91">
        <w:rPr>
          <w:rFonts w:asciiTheme="minorHAnsi" w:hAnsiTheme="minorHAnsi"/>
          <w:color w:val="000000" w:themeColor="text1"/>
          <w:sz w:val="20"/>
          <w:szCs w:val="20"/>
          <w:lang w:val="sr-Cyrl-CS" w:eastAsia="sr-Cyrl-CS"/>
        </w:rPr>
        <w:t xml:space="preserve">се односи на </w:t>
      </w:r>
      <w:r w:rsidRPr="003C48BF">
        <w:rPr>
          <w:rFonts w:asciiTheme="minorHAnsi" w:hAnsiTheme="minorHAnsi"/>
          <w:b/>
          <w:color w:val="000000" w:themeColor="text1"/>
          <w:sz w:val="20"/>
          <w:szCs w:val="20"/>
          <w:lang w:val="sr-Cyrl-CS" w:eastAsia="sr-Cyrl-CS"/>
        </w:rPr>
        <w:t>трошкове зарада, накнада зарада и остала лична примања</w:t>
      </w:r>
      <w:r w:rsidR="00BD6347" w:rsidRPr="00B84B91">
        <w:rPr>
          <w:rFonts w:asciiTheme="minorHAnsi" w:hAnsiTheme="minorHAnsi"/>
          <w:color w:val="000000" w:themeColor="text1"/>
          <w:sz w:val="20"/>
          <w:szCs w:val="20"/>
          <w:lang w:val="sr-Cyrl-CS" w:eastAsia="sr-Cyrl-CS"/>
        </w:rPr>
        <w:t xml:space="preserve">. Ова група трошкова </w:t>
      </w:r>
      <w:r w:rsidRPr="00B84B91">
        <w:rPr>
          <w:rFonts w:asciiTheme="minorHAnsi" w:hAnsiTheme="minorHAnsi"/>
          <w:color w:val="000000" w:themeColor="text1"/>
          <w:sz w:val="20"/>
          <w:szCs w:val="20"/>
          <w:lang w:val="sr-Cyrl-CS" w:eastAsia="sr-Cyrl-CS"/>
        </w:rPr>
        <w:t>је у 2023. години остварен</w:t>
      </w:r>
      <w:r w:rsidR="00BD6347" w:rsidRPr="00B84B91">
        <w:rPr>
          <w:rFonts w:asciiTheme="minorHAnsi" w:hAnsiTheme="minorHAnsi"/>
          <w:color w:val="000000" w:themeColor="text1"/>
          <w:sz w:val="20"/>
          <w:szCs w:val="20"/>
          <w:lang w:val="sr-Cyrl-CS" w:eastAsia="sr-Cyrl-CS"/>
        </w:rPr>
        <w:t>а</w:t>
      </w:r>
      <w:r w:rsidRPr="00B84B91">
        <w:rPr>
          <w:rFonts w:asciiTheme="minorHAnsi" w:hAnsiTheme="minorHAnsi"/>
          <w:color w:val="000000" w:themeColor="text1"/>
          <w:sz w:val="20"/>
          <w:szCs w:val="20"/>
          <w:lang w:val="sr-Cyrl-CS" w:eastAsia="sr-Cyrl-CS"/>
        </w:rPr>
        <w:t xml:space="preserve"> у износу од 1.509.781,83 КМ</w:t>
      </w:r>
      <w:r w:rsidR="00BD6347" w:rsidRPr="00B84B91">
        <w:rPr>
          <w:rFonts w:asciiTheme="minorHAnsi" w:hAnsiTheme="minorHAnsi"/>
          <w:color w:val="000000" w:themeColor="text1"/>
          <w:sz w:val="20"/>
          <w:szCs w:val="20"/>
          <w:lang w:val="sr-Cyrl-CS" w:eastAsia="sr-Cyrl-CS"/>
        </w:rPr>
        <w:t xml:space="preserve"> и чини 76,8% трошкова пословања</w:t>
      </w:r>
      <w:r w:rsidRPr="00B84B91">
        <w:rPr>
          <w:rFonts w:asciiTheme="minorHAnsi" w:hAnsiTheme="minorHAnsi"/>
          <w:color w:val="000000" w:themeColor="text1"/>
          <w:sz w:val="20"/>
          <w:szCs w:val="20"/>
          <w:lang w:val="sr-Cyrl-CS" w:eastAsia="sr-Cyrl-CS"/>
        </w:rPr>
        <w:t>,</w:t>
      </w:r>
      <w:r w:rsidR="00A6503C">
        <w:rPr>
          <w:rFonts w:asciiTheme="minorHAnsi" w:hAnsiTheme="minorHAnsi"/>
          <w:color w:val="000000" w:themeColor="text1"/>
          <w:sz w:val="20"/>
          <w:szCs w:val="20"/>
          <w:lang w:val="sr-Cyrl-CS" w:eastAsia="sr-Cyrl-CS"/>
        </w:rPr>
        <w:t xml:space="preserve"> односно 49,31% укупних расхода у 2023. години. Ови трошкови</w:t>
      </w:r>
      <w:r w:rsidRPr="00B84B91">
        <w:rPr>
          <w:rFonts w:asciiTheme="minorHAnsi" w:hAnsiTheme="minorHAnsi"/>
          <w:color w:val="000000" w:themeColor="text1"/>
          <w:sz w:val="20"/>
          <w:szCs w:val="20"/>
          <w:lang w:val="sr-Cyrl-CS" w:eastAsia="sr-Cyrl-CS"/>
        </w:rPr>
        <w:t xml:space="preserve"> обухвата</w:t>
      </w:r>
      <w:r w:rsidR="00A6503C">
        <w:rPr>
          <w:rFonts w:asciiTheme="minorHAnsi" w:hAnsiTheme="minorHAnsi"/>
          <w:color w:val="000000" w:themeColor="text1"/>
          <w:sz w:val="20"/>
          <w:szCs w:val="20"/>
          <w:lang w:val="sr-Cyrl-CS" w:eastAsia="sr-Cyrl-CS"/>
        </w:rPr>
        <w:t>ју</w:t>
      </w:r>
      <w:r w:rsidRPr="00B84B91">
        <w:rPr>
          <w:rFonts w:asciiTheme="minorHAnsi" w:hAnsiTheme="minorHAnsi"/>
          <w:color w:val="000000" w:themeColor="text1"/>
          <w:sz w:val="20"/>
          <w:szCs w:val="20"/>
          <w:lang w:val="sr-Cyrl-CS" w:eastAsia="sr-Cyrl-CS"/>
        </w:rPr>
        <w:t xml:space="preserve"> трошкове зарада</w:t>
      </w:r>
      <w:r w:rsidRPr="00235313">
        <w:rPr>
          <w:rFonts w:asciiTheme="minorHAnsi" w:hAnsiTheme="minorHAnsi"/>
          <w:color w:val="000000" w:themeColor="text1"/>
          <w:sz w:val="20"/>
          <w:szCs w:val="20"/>
          <w:lang w:val="sr-Cyrl-CS" w:eastAsia="sr-Cyrl-CS"/>
        </w:rPr>
        <w:t>, накнада зарада, трошкове пореза и доприноса</w:t>
      </w:r>
      <w:r w:rsidR="00BD6347" w:rsidRPr="00235313">
        <w:rPr>
          <w:rFonts w:asciiTheme="minorHAnsi" w:hAnsiTheme="minorHAnsi"/>
          <w:color w:val="000000" w:themeColor="text1"/>
          <w:sz w:val="20"/>
          <w:szCs w:val="20"/>
          <w:lang w:val="sr-Cyrl-CS" w:eastAsia="sr-Cyrl-CS"/>
        </w:rPr>
        <w:t xml:space="preserve">, </w:t>
      </w:r>
      <w:r w:rsidRPr="00235313">
        <w:rPr>
          <w:rFonts w:asciiTheme="minorHAnsi" w:hAnsiTheme="minorHAnsi"/>
          <w:color w:val="000000" w:themeColor="text1"/>
          <w:sz w:val="20"/>
          <w:szCs w:val="20"/>
          <w:lang w:val="sr-Cyrl-CS" w:eastAsia="sr-Cyrl-CS"/>
        </w:rPr>
        <w:t>накнада за привремен</w:t>
      </w:r>
      <w:r w:rsidR="00BD6347" w:rsidRPr="00235313">
        <w:rPr>
          <w:rFonts w:asciiTheme="minorHAnsi" w:hAnsiTheme="minorHAnsi"/>
          <w:color w:val="000000" w:themeColor="text1"/>
          <w:sz w:val="20"/>
          <w:szCs w:val="20"/>
          <w:lang w:val="sr-Cyrl-CS" w:eastAsia="sr-Cyrl-CS"/>
        </w:rPr>
        <w:t>е</w:t>
      </w:r>
      <w:r w:rsidRPr="00235313">
        <w:rPr>
          <w:rFonts w:asciiTheme="minorHAnsi" w:hAnsiTheme="minorHAnsi"/>
          <w:color w:val="000000" w:themeColor="text1"/>
          <w:sz w:val="20"/>
          <w:szCs w:val="20"/>
          <w:lang w:val="sr-Cyrl-CS" w:eastAsia="sr-Cyrl-CS"/>
        </w:rPr>
        <w:t xml:space="preserve"> и повремен</w:t>
      </w:r>
      <w:r w:rsidR="00BD6347" w:rsidRPr="00235313">
        <w:rPr>
          <w:rFonts w:asciiTheme="minorHAnsi" w:hAnsiTheme="minorHAnsi"/>
          <w:color w:val="000000" w:themeColor="text1"/>
          <w:sz w:val="20"/>
          <w:szCs w:val="20"/>
          <w:lang w:val="sr-Cyrl-CS" w:eastAsia="sr-Cyrl-CS"/>
        </w:rPr>
        <w:t>е</w:t>
      </w:r>
      <w:r w:rsidRPr="00235313">
        <w:rPr>
          <w:rFonts w:asciiTheme="minorHAnsi" w:hAnsiTheme="minorHAnsi"/>
          <w:color w:val="000000" w:themeColor="text1"/>
          <w:sz w:val="20"/>
          <w:szCs w:val="20"/>
          <w:lang w:val="sr-Cyrl-CS" w:eastAsia="sr-Cyrl-CS"/>
        </w:rPr>
        <w:t xml:space="preserve"> послове</w:t>
      </w:r>
      <w:r w:rsidR="00BD6347" w:rsidRPr="00235313">
        <w:rPr>
          <w:rFonts w:asciiTheme="minorHAnsi" w:hAnsiTheme="minorHAnsi"/>
          <w:color w:val="000000" w:themeColor="text1"/>
          <w:sz w:val="20"/>
          <w:szCs w:val="20"/>
          <w:lang w:val="sr-Cyrl-CS" w:eastAsia="sr-Cyrl-CS"/>
        </w:rPr>
        <w:t xml:space="preserve"> (</w:t>
      </w:r>
      <w:r w:rsidR="00BD6347" w:rsidRPr="00235313">
        <w:rPr>
          <w:rFonts w:asciiTheme="minorHAnsi" w:hAnsiTheme="minorHAnsi"/>
          <w:color w:val="000000" w:themeColor="text1"/>
          <w:sz w:val="20"/>
          <w:szCs w:val="20"/>
          <w:lang w:val="sr-Cyrl-BA" w:eastAsia="sr-Cyrl-CS"/>
        </w:rPr>
        <w:t xml:space="preserve">процјена потраживања Фонда у банкама у стечају и  анализа примјене МФСИ 9,  те одржавање чистоће у Фонду), </w:t>
      </w:r>
      <w:r w:rsidR="00BD6347" w:rsidRPr="00235313">
        <w:rPr>
          <w:rFonts w:asciiTheme="minorHAnsi" w:hAnsiTheme="minorHAnsi"/>
          <w:color w:val="000000" w:themeColor="text1"/>
          <w:sz w:val="20"/>
          <w:szCs w:val="20"/>
          <w:lang w:val="sr-Cyrl-CS" w:eastAsia="sr-Cyrl-CS"/>
        </w:rPr>
        <w:t>те остале личне расходе (</w:t>
      </w:r>
      <w:r w:rsidR="001538EF" w:rsidRPr="00235313">
        <w:rPr>
          <w:rFonts w:asciiTheme="minorHAnsi" w:hAnsiTheme="minorHAnsi"/>
          <w:color w:val="000000" w:themeColor="text1"/>
          <w:sz w:val="20"/>
          <w:szCs w:val="20"/>
          <w:lang w:val="sr-Cyrl-BA" w:eastAsia="sr-Cyrl-CS"/>
        </w:rPr>
        <w:t>исплате радницима по основу Општег колективног уговора и члана 74 Правилника о раду</w:t>
      </w:r>
      <w:r w:rsidR="00235313" w:rsidRPr="00235313">
        <w:rPr>
          <w:rFonts w:asciiTheme="minorHAnsi" w:hAnsiTheme="minorHAnsi"/>
          <w:color w:val="000000" w:themeColor="text1"/>
          <w:sz w:val="20"/>
          <w:szCs w:val="20"/>
          <w:lang w:val="sr-Cyrl-BA" w:eastAsia="sr-Cyrl-CS"/>
        </w:rPr>
        <w:t>,</w:t>
      </w:r>
      <w:r w:rsidR="001538EF" w:rsidRPr="00235313">
        <w:rPr>
          <w:rFonts w:asciiTheme="minorHAnsi" w:hAnsiTheme="minorHAnsi"/>
          <w:color w:val="000000" w:themeColor="text1"/>
          <w:sz w:val="20"/>
          <w:szCs w:val="20"/>
          <w:lang w:val="sr-Cyrl-BA" w:eastAsia="sr-Cyrl-CS"/>
        </w:rPr>
        <w:t xml:space="preserve"> </w:t>
      </w:r>
      <w:r w:rsidR="00836EF2">
        <w:rPr>
          <w:rFonts w:asciiTheme="minorHAnsi" w:hAnsiTheme="minorHAnsi"/>
          <w:color w:val="000000" w:themeColor="text1"/>
          <w:sz w:val="20"/>
          <w:szCs w:val="20"/>
          <w:lang w:val="sr-Cyrl-BA" w:eastAsia="sr-Cyrl-CS"/>
        </w:rPr>
        <w:t>и то</w:t>
      </w:r>
      <w:r w:rsidR="001538EF" w:rsidRPr="00235313">
        <w:rPr>
          <w:rFonts w:asciiTheme="minorHAnsi" w:hAnsiTheme="minorHAnsi"/>
          <w:color w:val="000000" w:themeColor="text1"/>
          <w:sz w:val="20"/>
          <w:szCs w:val="20"/>
          <w:lang w:val="sr-Cyrl-BA" w:eastAsia="sr-Cyrl-CS"/>
        </w:rPr>
        <w:t xml:space="preserve"> </w:t>
      </w:r>
      <w:r w:rsidR="00235313">
        <w:rPr>
          <w:rFonts w:asciiTheme="minorHAnsi" w:hAnsiTheme="minorHAnsi"/>
          <w:color w:val="000000" w:themeColor="text1"/>
          <w:sz w:val="20"/>
          <w:szCs w:val="20"/>
          <w:lang w:val="sr-Cyrl-BA" w:eastAsia="sr-Cyrl-CS"/>
        </w:rPr>
        <w:t>исплате</w:t>
      </w:r>
      <w:r w:rsidR="001538EF" w:rsidRPr="00235313">
        <w:rPr>
          <w:rFonts w:asciiTheme="minorHAnsi" w:hAnsiTheme="minorHAnsi"/>
          <w:color w:val="000000" w:themeColor="text1"/>
          <w:sz w:val="20"/>
          <w:szCs w:val="20"/>
          <w:lang w:val="sr-Cyrl-BA" w:eastAsia="sr-Cyrl-CS"/>
        </w:rPr>
        <w:t xml:space="preserve"> по основу смрти ужег члана породице, рођења дјетета</w:t>
      </w:r>
      <w:r w:rsidR="00235313" w:rsidRPr="00235313">
        <w:rPr>
          <w:rFonts w:asciiTheme="minorHAnsi" w:hAnsiTheme="minorHAnsi"/>
          <w:color w:val="000000" w:themeColor="text1"/>
          <w:sz w:val="20"/>
          <w:szCs w:val="20"/>
          <w:lang w:val="sr-Cyrl-BA" w:eastAsia="sr-Cyrl-CS"/>
        </w:rPr>
        <w:t xml:space="preserve"> и дуготрајног лијечења радника).</w:t>
      </w:r>
      <w:r w:rsidR="00235313">
        <w:rPr>
          <w:rFonts w:asciiTheme="minorHAnsi" w:hAnsiTheme="minorHAnsi"/>
          <w:color w:val="000000" w:themeColor="text1"/>
          <w:sz w:val="20"/>
          <w:szCs w:val="20"/>
          <w:lang w:val="sr-Cyrl-BA" w:eastAsia="sr-Cyrl-CS"/>
        </w:rPr>
        <w:t xml:space="preserve"> Посматрано у односу на план, ови трошкови су остварени у износу који је за 3% мањи од планираног.</w:t>
      </w:r>
    </w:p>
    <w:p w14:paraId="52589D5C" w14:textId="77777777" w:rsidR="00D15B00" w:rsidRDefault="00836EF2" w:rsidP="00836EF2">
      <w:pPr>
        <w:rPr>
          <w:rFonts w:asciiTheme="minorHAnsi" w:hAnsiTheme="minorHAnsi"/>
          <w:sz w:val="20"/>
          <w:szCs w:val="20"/>
          <w:lang w:val="sr-Cyrl-BA" w:eastAsia="sr-Cyrl-CS"/>
        </w:rPr>
      </w:pPr>
      <w:r w:rsidRPr="003C48BF">
        <w:rPr>
          <w:rFonts w:asciiTheme="minorHAnsi" w:hAnsiTheme="minorHAnsi"/>
          <w:b/>
          <w:sz w:val="20"/>
          <w:szCs w:val="20"/>
          <w:lang w:val="sr-Cyrl-BA" w:eastAsia="sr-Cyrl-CS"/>
        </w:rPr>
        <w:t>Нематеријални трошкови</w:t>
      </w:r>
      <w:r>
        <w:rPr>
          <w:rFonts w:asciiTheme="minorHAnsi" w:hAnsiTheme="minorHAnsi"/>
          <w:sz w:val="20"/>
          <w:szCs w:val="20"/>
          <w:lang w:val="sr-Cyrl-BA" w:eastAsia="sr-Cyrl-CS"/>
        </w:rPr>
        <w:t xml:space="preserve"> </w:t>
      </w:r>
      <w:r w:rsidR="007851DE">
        <w:rPr>
          <w:rFonts w:asciiTheme="minorHAnsi" w:hAnsiTheme="minorHAnsi"/>
          <w:sz w:val="20"/>
          <w:szCs w:val="20"/>
          <w:lang w:val="sr-Cyrl-BA" w:eastAsia="sr-Cyrl-CS"/>
        </w:rPr>
        <w:t xml:space="preserve">су остварени у износу од </w:t>
      </w:r>
      <w:r w:rsidRPr="00836EF2">
        <w:rPr>
          <w:rFonts w:asciiTheme="minorHAnsi" w:hAnsiTheme="minorHAnsi"/>
          <w:sz w:val="20"/>
          <w:szCs w:val="20"/>
          <w:lang w:val="sr-Cyrl-BA" w:eastAsia="sr-Cyrl-CS"/>
        </w:rPr>
        <w:t>182.942,28</w:t>
      </w:r>
      <w:r w:rsidR="00D15B00">
        <w:rPr>
          <w:rFonts w:asciiTheme="minorHAnsi" w:hAnsiTheme="minorHAnsi"/>
          <w:sz w:val="20"/>
          <w:szCs w:val="20"/>
          <w:lang w:val="sr-Cyrl-BA" w:eastAsia="sr-Cyrl-CS"/>
        </w:rPr>
        <w:t xml:space="preserve"> КМ, а најзначајније ставке у оквиру ове групе су: трошкови адвокатских услуга, трошак чланарине у Зеленом навигатору, трошкови репрезентације, трошак чланарине у Европској асоцијацији гарантних институција (АЕЦМ) и трошкови ПТТ услуга у земљи. Наведене ставке заједно чине више од 80% остварених трошкова у овој категорији.</w:t>
      </w:r>
    </w:p>
    <w:p w14:paraId="2C99A90A" w14:textId="77777777" w:rsidR="00836EF2" w:rsidRDefault="00D15B00" w:rsidP="00836EF2">
      <w:pPr>
        <w:rPr>
          <w:rFonts w:asciiTheme="minorHAnsi" w:hAnsiTheme="minorHAnsi"/>
          <w:color w:val="000000" w:themeColor="text1"/>
          <w:sz w:val="20"/>
          <w:szCs w:val="20"/>
          <w:lang w:val="sr-Cyrl-BA" w:eastAsia="sr-Cyrl-CS"/>
        </w:rPr>
      </w:pPr>
      <w:r w:rsidRPr="003C48BF">
        <w:rPr>
          <w:rFonts w:asciiTheme="minorHAnsi" w:hAnsiTheme="minorHAnsi"/>
          <w:b/>
          <w:sz w:val="20"/>
          <w:szCs w:val="20"/>
          <w:lang w:val="sr-Cyrl-BA" w:eastAsia="sr-Cyrl-CS"/>
        </w:rPr>
        <w:t>О</w:t>
      </w:r>
      <w:r w:rsidR="00836EF2" w:rsidRPr="003C48BF">
        <w:rPr>
          <w:rFonts w:asciiTheme="minorHAnsi" w:hAnsiTheme="minorHAnsi"/>
          <w:b/>
          <w:sz w:val="20"/>
          <w:szCs w:val="20"/>
          <w:lang w:val="sr-Cyrl-BA" w:eastAsia="sr-Cyrl-CS"/>
        </w:rPr>
        <w:t>стали трошкови</w:t>
      </w:r>
      <w:r w:rsidR="00836EF2">
        <w:rPr>
          <w:rFonts w:asciiTheme="minorHAnsi" w:hAnsiTheme="minorHAnsi"/>
          <w:sz w:val="20"/>
          <w:szCs w:val="20"/>
          <w:lang w:val="sr-Cyrl-BA" w:eastAsia="sr-Cyrl-CS"/>
        </w:rPr>
        <w:t xml:space="preserve"> </w:t>
      </w:r>
      <w:r>
        <w:rPr>
          <w:rFonts w:asciiTheme="minorHAnsi" w:hAnsiTheme="minorHAnsi"/>
          <w:sz w:val="20"/>
          <w:szCs w:val="20"/>
          <w:lang w:val="sr-Cyrl-BA" w:eastAsia="sr-Cyrl-CS"/>
        </w:rPr>
        <w:t>су износили</w:t>
      </w:r>
      <w:r w:rsidR="00584620">
        <w:rPr>
          <w:rFonts w:asciiTheme="minorHAnsi" w:hAnsiTheme="minorHAnsi"/>
          <w:sz w:val="20"/>
          <w:szCs w:val="20"/>
          <w:lang w:val="sr-Cyrl-BA" w:eastAsia="sr-Cyrl-CS"/>
        </w:rPr>
        <w:t xml:space="preserve"> </w:t>
      </w:r>
      <w:r w:rsidR="00836EF2" w:rsidRPr="00584620">
        <w:rPr>
          <w:rFonts w:asciiTheme="minorHAnsi" w:hAnsiTheme="minorHAnsi"/>
          <w:color w:val="000000" w:themeColor="text1"/>
          <w:sz w:val="20"/>
          <w:szCs w:val="20"/>
          <w:lang w:val="sr-Cyrl-BA" w:eastAsia="sr-Cyrl-CS"/>
        </w:rPr>
        <w:t>132.121,82</w:t>
      </w:r>
      <w:r w:rsidR="00584620" w:rsidRPr="00584620">
        <w:rPr>
          <w:rFonts w:asciiTheme="minorHAnsi" w:hAnsiTheme="minorHAnsi"/>
          <w:color w:val="000000" w:themeColor="text1"/>
          <w:sz w:val="20"/>
          <w:szCs w:val="20"/>
          <w:lang w:val="sr-Cyrl-BA" w:eastAsia="sr-Cyrl-CS"/>
        </w:rPr>
        <w:t xml:space="preserve"> КМ. Највећи дио групе осталих трошкова (56.409,44 КМ) се односи на трошак закупа пословних просторија Фонда, које су у власништву Инвестиционо-развојне банке а.д. Бања Лука, те трошак такса у износу од 51.321,92 КМ, а који обухвата судске таксе за спорове који су вођени у 2023. години.</w:t>
      </w:r>
    </w:p>
    <w:p w14:paraId="1DF6BD93" w14:textId="77777777" w:rsidR="001538EF" w:rsidRDefault="00836EF2" w:rsidP="001538EF">
      <w:pPr>
        <w:rPr>
          <w:rFonts w:asciiTheme="minorHAnsi" w:hAnsiTheme="minorHAnsi"/>
          <w:color w:val="000000" w:themeColor="text1"/>
          <w:sz w:val="20"/>
          <w:szCs w:val="20"/>
          <w:lang w:val="sr-Cyrl-BA" w:eastAsia="sr-Cyrl-CS"/>
        </w:rPr>
      </w:pPr>
      <w:r w:rsidRPr="003C48BF">
        <w:rPr>
          <w:rFonts w:asciiTheme="minorHAnsi" w:hAnsiTheme="minorHAnsi"/>
          <w:b/>
          <w:color w:val="000000" w:themeColor="text1"/>
          <w:sz w:val="20"/>
          <w:szCs w:val="20"/>
          <w:lang w:val="sr-Cyrl-BA" w:eastAsia="sr-Cyrl-CS"/>
        </w:rPr>
        <w:t>Трошкови производних услуга</w:t>
      </w:r>
      <w:r w:rsidRPr="00584620">
        <w:rPr>
          <w:rFonts w:asciiTheme="minorHAnsi" w:hAnsiTheme="minorHAnsi"/>
          <w:color w:val="000000" w:themeColor="text1"/>
          <w:sz w:val="20"/>
          <w:szCs w:val="20"/>
          <w:lang w:val="sr-Cyrl-BA" w:eastAsia="sr-Cyrl-CS"/>
        </w:rPr>
        <w:t xml:space="preserve"> су остварени у износу од 57.451,93 КМ и највећим дијелом се односе на трошкове</w:t>
      </w:r>
      <w:r w:rsidR="001538EF" w:rsidRPr="00584620">
        <w:rPr>
          <w:rFonts w:asciiTheme="minorHAnsi" w:hAnsiTheme="minorHAnsi"/>
          <w:color w:val="000000" w:themeColor="text1"/>
          <w:sz w:val="20"/>
          <w:szCs w:val="20"/>
          <w:lang w:val="sr-Cyrl-BA" w:eastAsia="sr-Cyrl-CS"/>
        </w:rPr>
        <w:t xml:space="preserve"> одржавања софтвера редовних</w:t>
      </w:r>
      <w:r w:rsidR="001538EF" w:rsidRPr="00836EF2">
        <w:rPr>
          <w:rFonts w:asciiTheme="minorHAnsi" w:hAnsiTheme="minorHAnsi"/>
          <w:color w:val="000000" w:themeColor="text1"/>
          <w:sz w:val="20"/>
          <w:szCs w:val="20"/>
          <w:lang w:val="sr-Cyrl-BA" w:eastAsia="sr-Cyrl-CS"/>
        </w:rPr>
        <w:t xml:space="preserve"> гаранција, трошкове одржавања гаранција из кредитног портф</w:t>
      </w:r>
      <w:r w:rsidR="003C48BF">
        <w:rPr>
          <w:rFonts w:asciiTheme="minorHAnsi" w:hAnsiTheme="minorHAnsi"/>
          <w:color w:val="000000" w:themeColor="text1"/>
          <w:sz w:val="20"/>
          <w:szCs w:val="20"/>
          <w:lang w:val="sr-Cyrl-BA" w:eastAsia="sr-Cyrl-CS"/>
        </w:rPr>
        <w:t>олиј</w:t>
      </w:r>
      <w:r w:rsidR="001538EF" w:rsidRPr="00836EF2">
        <w:rPr>
          <w:rFonts w:asciiTheme="minorHAnsi" w:hAnsiTheme="minorHAnsi"/>
          <w:color w:val="000000" w:themeColor="text1"/>
          <w:sz w:val="20"/>
          <w:szCs w:val="20"/>
          <w:lang w:val="sr-Cyrl-BA" w:eastAsia="sr-Cyrl-CS"/>
        </w:rPr>
        <w:t xml:space="preserve">а, трошкове одржавања гаранција из Програма </w:t>
      </w:r>
      <w:r w:rsidR="001538EF" w:rsidRPr="00836EF2">
        <w:rPr>
          <w:rFonts w:asciiTheme="minorHAnsi" w:hAnsiTheme="minorHAnsi"/>
          <w:color w:val="000000" w:themeColor="text1"/>
          <w:sz w:val="20"/>
          <w:szCs w:val="20"/>
          <w:lang w:val="sr-Latn-BA" w:eastAsia="sr-Cyrl-CS"/>
        </w:rPr>
        <w:t>COVID 19</w:t>
      </w:r>
      <w:r w:rsidRPr="00836EF2">
        <w:rPr>
          <w:rFonts w:asciiTheme="minorHAnsi" w:hAnsiTheme="minorHAnsi"/>
          <w:color w:val="000000" w:themeColor="text1"/>
          <w:sz w:val="20"/>
          <w:szCs w:val="20"/>
          <w:lang w:val="sr-Cyrl-BA" w:eastAsia="sr-Cyrl-CS"/>
        </w:rPr>
        <w:t xml:space="preserve">, те </w:t>
      </w:r>
      <w:r w:rsidR="001538EF" w:rsidRPr="00836EF2">
        <w:rPr>
          <w:rFonts w:asciiTheme="minorHAnsi" w:hAnsiTheme="minorHAnsi"/>
          <w:color w:val="000000" w:themeColor="text1"/>
          <w:sz w:val="20"/>
          <w:szCs w:val="20"/>
          <w:lang w:val="sr-Cyrl-BA" w:eastAsia="sr-Cyrl-CS"/>
        </w:rPr>
        <w:t>трошкове одржавања системског софтвера.</w:t>
      </w:r>
    </w:p>
    <w:p w14:paraId="1DD37B2F" w14:textId="77777777" w:rsidR="00E84021" w:rsidRDefault="00836EF2" w:rsidP="001538EF">
      <w:pPr>
        <w:rPr>
          <w:rFonts w:asciiTheme="minorHAnsi" w:hAnsiTheme="minorHAnsi"/>
          <w:color w:val="000000" w:themeColor="text1"/>
          <w:sz w:val="20"/>
          <w:szCs w:val="20"/>
          <w:lang w:val="sr-Latn-BA" w:eastAsia="sr-Cyrl-CS"/>
        </w:rPr>
      </w:pPr>
      <w:r w:rsidRPr="003C48BF">
        <w:rPr>
          <w:rFonts w:asciiTheme="minorHAnsi" w:hAnsiTheme="minorHAnsi"/>
          <w:b/>
          <w:color w:val="000000" w:themeColor="text1"/>
          <w:sz w:val="20"/>
          <w:szCs w:val="20"/>
          <w:lang w:val="sr-Cyrl-BA" w:eastAsia="sr-Cyrl-CS"/>
        </w:rPr>
        <w:t>Трошкови амортизације</w:t>
      </w:r>
      <w:r>
        <w:rPr>
          <w:rFonts w:asciiTheme="minorHAnsi" w:hAnsiTheme="minorHAnsi"/>
          <w:color w:val="000000" w:themeColor="text1"/>
          <w:sz w:val="20"/>
          <w:szCs w:val="20"/>
          <w:lang w:val="sr-Cyrl-BA" w:eastAsia="sr-Cyrl-CS"/>
        </w:rPr>
        <w:t xml:space="preserve"> у износу од </w:t>
      </w:r>
      <w:r w:rsidRPr="00836EF2">
        <w:rPr>
          <w:rFonts w:asciiTheme="minorHAnsi" w:hAnsiTheme="minorHAnsi"/>
          <w:color w:val="000000" w:themeColor="text1"/>
          <w:sz w:val="20"/>
          <w:szCs w:val="20"/>
          <w:lang w:val="sr-Cyrl-BA" w:eastAsia="sr-Cyrl-CS"/>
        </w:rPr>
        <w:t>47.912,67</w:t>
      </w:r>
      <w:r w:rsidR="007851DE">
        <w:rPr>
          <w:rFonts w:asciiTheme="minorHAnsi" w:hAnsiTheme="minorHAnsi"/>
          <w:color w:val="000000" w:themeColor="text1"/>
          <w:sz w:val="20"/>
          <w:szCs w:val="20"/>
          <w:lang w:val="sr-Cyrl-BA" w:eastAsia="sr-Cyrl-CS"/>
        </w:rPr>
        <w:t xml:space="preserve"> КМ</w:t>
      </w:r>
      <w:r>
        <w:rPr>
          <w:rFonts w:asciiTheme="minorHAnsi" w:hAnsiTheme="minorHAnsi"/>
          <w:color w:val="000000" w:themeColor="text1"/>
          <w:sz w:val="20"/>
          <w:szCs w:val="20"/>
          <w:lang w:val="sr-Cyrl-BA" w:eastAsia="sr-Cyrl-CS"/>
        </w:rPr>
        <w:t xml:space="preserve"> се највећим дијелом односе на амортизацију основних средстава, односно опреме која се користи у редовном пословању Фонда.</w:t>
      </w:r>
    </w:p>
    <w:p w14:paraId="5C1E1A4A" w14:textId="77777777" w:rsidR="00135F4E" w:rsidRDefault="00135F4E" w:rsidP="001538EF">
      <w:pPr>
        <w:rPr>
          <w:rFonts w:asciiTheme="minorHAnsi" w:hAnsiTheme="minorHAnsi"/>
          <w:color w:val="000000" w:themeColor="text1"/>
          <w:sz w:val="20"/>
          <w:szCs w:val="20"/>
          <w:lang w:val="sr-Latn-BA" w:eastAsia="sr-Cyrl-CS"/>
        </w:rPr>
      </w:pPr>
    </w:p>
    <w:p w14:paraId="72D0AA91" w14:textId="77777777" w:rsidR="00135F4E" w:rsidRDefault="00135F4E" w:rsidP="001538EF">
      <w:pPr>
        <w:rPr>
          <w:rFonts w:asciiTheme="minorHAnsi" w:hAnsiTheme="minorHAnsi"/>
          <w:color w:val="000000" w:themeColor="text1"/>
          <w:sz w:val="20"/>
          <w:szCs w:val="20"/>
          <w:lang w:val="sr-Latn-BA" w:eastAsia="sr-Cyrl-CS"/>
        </w:rPr>
      </w:pPr>
    </w:p>
    <w:p w14:paraId="261BE85E" w14:textId="77777777" w:rsidR="00135F4E" w:rsidRDefault="00135F4E" w:rsidP="001538EF">
      <w:pPr>
        <w:rPr>
          <w:rFonts w:asciiTheme="minorHAnsi" w:hAnsiTheme="minorHAnsi"/>
          <w:color w:val="000000" w:themeColor="text1"/>
          <w:sz w:val="20"/>
          <w:szCs w:val="20"/>
          <w:lang w:val="sr-Latn-BA" w:eastAsia="sr-Cyrl-CS"/>
        </w:rPr>
      </w:pPr>
    </w:p>
    <w:p w14:paraId="10CF2049" w14:textId="77777777" w:rsidR="00135F4E" w:rsidRPr="00135F4E" w:rsidRDefault="00135F4E" w:rsidP="001538EF">
      <w:pPr>
        <w:rPr>
          <w:rFonts w:asciiTheme="minorHAnsi" w:hAnsiTheme="minorHAnsi"/>
          <w:color w:val="000000" w:themeColor="text1"/>
          <w:sz w:val="20"/>
          <w:szCs w:val="20"/>
          <w:lang w:val="sr-Latn-BA" w:eastAsia="sr-Cyrl-CS"/>
        </w:rPr>
      </w:pPr>
    </w:p>
    <w:p w14:paraId="32F4B988" w14:textId="77777777" w:rsidR="00914272" w:rsidRPr="00914272" w:rsidRDefault="00914272" w:rsidP="00135F4E">
      <w:pPr>
        <w:jc w:val="center"/>
        <w:rPr>
          <w:rFonts w:asciiTheme="minorHAnsi" w:hAnsiTheme="minorHAnsi"/>
          <w:b/>
          <w:sz w:val="20"/>
          <w:szCs w:val="20"/>
          <w:lang w:val="sr-Cyrl-CS" w:eastAsia="sr-Cyrl-CS"/>
        </w:rPr>
      </w:pPr>
      <w:r w:rsidRPr="00914272">
        <w:rPr>
          <w:rFonts w:asciiTheme="minorHAnsi" w:hAnsiTheme="minorHAnsi"/>
          <w:b/>
          <w:sz w:val="20"/>
          <w:szCs w:val="20"/>
          <w:lang w:val="sr-Cyrl-CS" w:eastAsia="sr-Cyrl-CS"/>
        </w:rPr>
        <w:t xml:space="preserve">Преглед </w:t>
      </w:r>
      <w:r>
        <w:rPr>
          <w:rFonts w:asciiTheme="minorHAnsi" w:hAnsiTheme="minorHAnsi"/>
          <w:b/>
          <w:sz w:val="20"/>
          <w:szCs w:val="20"/>
          <w:lang w:val="sr-Cyrl-RS" w:eastAsia="sr-Cyrl-CS"/>
        </w:rPr>
        <w:t xml:space="preserve">структуре </w:t>
      </w:r>
      <w:r w:rsidRPr="00914272">
        <w:rPr>
          <w:rFonts w:asciiTheme="minorHAnsi" w:hAnsiTheme="minorHAnsi"/>
          <w:b/>
          <w:sz w:val="20"/>
          <w:szCs w:val="20"/>
          <w:lang w:val="sr-Cyrl-CS" w:eastAsia="sr-Cyrl-CS"/>
        </w:rPr>
        <w:t>остварених расхода пословања у 2023. години</w:t>
      </w:r>
    </w:p>
    <w:p w14:paraId="717E660D" w14:textId="77777777" w:rsidR="00914272" w:rsidRPr="00914272" w:rsidRDefault="00914272" w:rsidP="00914272">
      <w:pPr>
        <w:rPr>
          <w:rFonts w:asciiTheme="minorHAnsi" w:hAnsiTheme="minorHAnsi"/>
          <w:b/>
          <w:sz w:val="20"/>
          <w:szCs w:val="20"/>
          <w:lang w:val="sr-Cyrl-CS" w:eastAsia="sr-Cyrl-CS"/>
        </w:rPr>
      </w:pPr>
    </w:p>
    <w:p w14:paraId="191E0426" w14:textId="77777777" w:rsidR="00E84021" w:rsidRDefault="00914272" w:rsidP="00914272">
      <w:pPr>
        <w:jc w:val="right"/>
        <w:rPr>
          <w:rFonts w:asciiTheme="minorHAnsi" w:hAnsiTheme="minorHAnsi"/>
          <w:b/>
          <w:sz w:val="20"/>
          <w:szCs w:val="20"/>
          <w:lang w:val="sr-Cyrl-CS" w:eastAsia="sr-Cyrl-CS"/>
        </w:rPr>
      </w:pPr>
      <w:r>
        <w:rPr>
          <w:rFonts w:asciiTheme="minorHAnsi" w:hAnsiTheme="minorHAnsi"/>
          <w:b/>
          <w:sz w:val="20"/>
          <w:szCs w:val="20"/>
          <w:lang w:val="sr-Cyrl-CS" w:eastAsia="sr-Cyrl-CS"/>
        </w:rPr>
        <w:t xml:space="preserve">                       Табела 24</w:t>
      </w:r>
    </w:p>
    <w:tbl>
      <w:tblPr>
        <w:tblW w:w="8804" w:type="dxa"/>
        <w:tblInd w:w="93" w:type="dxa"/>
        <w:tblLook w:val="04A0" w:firstRow="1" w:lastRow="0" w:firstColumn="1" w:lastColumn="0" w:noHBand="0" w:noVBand="1"/>
      </w:tblPr>
      <w:tblGrid>
        <w:gridCol w:w="880"/>
        <w:gridCol w:w="4805"/>
        <w:gridCol w:w="1560"/>
        <w:gridCol w:w="1559"/>
      </w:tblGrid>
      <w:tr w:rsidR="00914272" w:rsidRPr="00914272" w14:paraId="2B55C822" w14:textId="77777777" w:rsidTr="00135F4E">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2F91F05C" w14:textId="77777777" w:rsidR="00914272" w:rsidRPr="00914272" w:rsidRDefault="00914272" w:rsidP="00914272">
            <w:pPr>
              <w:jc w:val="center"/>
              <w:rPr>
                <w:rFonts w:ascii="Calibri" w:hAnsi="Calibri"/>
                <w:b/>
                <w:bCs/>
                <w:sz w:val="20"/>
                <w:szCs w:val="20"/>
              </w:rPr>
            </w:pPr>
            <w:bookmarkStart w:id="14" w:name="_Hlk170214360"/>
            <w:r w:rsidRPr="00914272">
              <w:rPr>
                <w:rFonts w:ascii="Calibri" w:hAnsi="Calibri"/>
                <w:b/>
                <w:bCs/>
                <w:sz w:val="20"/>
                <w:szCs w:val="20"/>
                <w:lang w:val="sr-Latn-RS"/>
              </w:rPr>
              <w:t>Конто</w:t>
            </w:r>
          </w:p>
        </w:tc>
        <w:tc>
          <w:tcPr>
            <w:tcW w:w="4805" w:type="dxa"/>
            <w:tcBorders>
              <w:top w:val="single" w:sz="8" w:space="0" w:color="auto"/>
              <w:left w:val="nil"/>
              <w:bottom w:val="nil"/>
              <w:right w:val="single" w:sz="8" w:space="0" w:color="auto"/>
            </w:tcBorders>
            <w:shd w:val="clear" w:color="000000" w:fill="8DB4E2"/>
            <w:vAlign w:val="center"/>
            <w:hideMark/>
          </w:tcPr>
          <w:p w14:paraId="0CBEC900"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lang w:val="sr-Latn-RS"/>
              </w:rPr>
              <w:t>Назив</w:t>
            </w:r>
          </w:p>
        </w:tc>
        <w:tc>
          <w:tcPr>
            <w:tcW w:w="1560" w:type="dxa"/>
            <w:tcBorders>
              <w:top w:val="single" w:sz="8" w:space="0" w:color="auto"/>
              <w:left w:val="nil"/>
              <w:bottom w:val="nil"/>
              <w:right w:val="single" w:sz="8" w:space="0" w:color="auto"/>
            </w:tcBorders>
            <w:shd w:val="clear" w:color="000000" w:fill="8DB4E2"/>
            <w:vAlign w:val="center"/>
            <w:hideMark/>
          </w:tcPr>
          <w:p w14:paraId="0E31B4BC"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lang w:val="sr-Latn-RS"/>
              </w:rPr>
              <w:t>Остварено у 2023. години</w:t>
            </w:r>
          </w:p>
        </w:tc>
        <w:tc>
          <w:tcPr>
            <w:tcW w:w="1559"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23EF3876"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Структура</w:t>
            </w:r>
          </w:p>
        </w:tc>
      </w:tr>
      <w:bookmarkEnd w:id="14"/>
      <w:tr w:rsidR="00914272" w:rsidRPr="00914272" w14:paraId="79E22F41" w14:textId="77777777" w:rsidTr="00135F4E">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B7BD9"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Cyrl-BA"/>
              </w:rPr>
              <w:t>60</w:t>
            </w:r>
          </w:p>
        </w:tc>
        <w:tc>
          <w:tcPr>
            <w:tcW w:w="4805" w:type="dxa"/>
            <w:tcBorders>
              <w:top w:val="single" w:sz="4" w:space="0" w:color="auto"/>
              <w:left w:val="nil"/>
              <w:bottom w:val="single" w:sz="4" w:space="0" w:color="auto"/>
              <w:right w:val="single" w:sz="4" w:space="0" w:color="auto"/>
            </w:tcBorders>
            <w:shd w:val="clear" w:color="auto" w:fill="auto"/>
            <w:vAlign w:val="center"/>
            <w:hideMark/>
          </w:tcPr>
          <w:p w14:paraId="28FAEFDA" w14:textId="77777777" w:rsidR="00914272" w:rsidRPr="00914272" w:rsidRDefault="00914272" w:rsidP="00914272">
            <w:pPr>
              <w:jc w:val="left"/>
              <w:rPr>
                <w:rFonts w:ascii="Calibri" w:hAnsi="Calibri"/>
                <w:sz w:val="20"/>
                <w:szCs w:val="20"/>
              </w:rPr>
            </w:pPr>
            <w:r w:rsidRPr="00914272">
              <w:rPr>
                <w:rFonts w:ascii="Calibri" w:hAnsi="Calibri"/>
                <w:sz w:val="20"/>
                <w:szCs w:val="20"/>
                <w:lang w:val="sr-Cyrl-BA"/>
              </w:rPr>
              <w:t>Расходи камата</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DD044A1"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273.319,78</w:t>
            </w:r>
          </w:p>
        </w:tc>
        <w:tc>
          <w:tcPr>
            <w:tcW w:w="1559" w:type="dxa"/>
            <w:tcBorders>
              <w:top w:val="nil"/>
              <w:left w:val="nil"/>
              <w:bottom w:val="single" w:sz="4" w:space="0" w:color="auto"/>
              <w:right w:val="single" w:sz="4" w:space="0" w:color="auto"/>
            </w:tcBorders>
            <w:shd w:val="clear" w:color="auto" w:fill="auto"/>
            <w:noWrap/>
            <w:vAlign w:val="bottom"/>
            <w:hideMark/>
          </w:tcPr>
          <w:p w14:paraId="79E5A46F" w14:textId="77777777" w:rsidR="00914272" w:rsidRPr="00914272" w:rsidRDefault="00914272" w:rsidP="00914272">
            <w:pPr>
              <w:jc w:val="center"/>
              <w:rPr>
                <w:rFonts w:ascii="Calibri" w:hAnsi="Calibri"/>
                <w:sz w:val="20"/>
                <w:szCs w:val="20"/>
              </w:rPr>
            </w:pPr>
            <w:r w:rsidRPr="00914272">
              <w:rPr>
                <w:rFonts w:ascii="Calibri" w:hAnsi="Calibri"/>
                <w:sz w:val="20"/>
                <w:szCs w:val="20"/>
              </w:rPr>
              <w:t>8,93%</w:t>
            </w:r>
          </w:p>
        </w:tc>
      </w:tr>
      <w:tr w:rsidR="00914272" w:rsidRPr="00914272" w14:paraId="3AAAA2E4"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53BD768"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Cyrl-BA"/>
              </w:rPr>
              <w:t>610</w:t>
            </w:r>
          </w:p>
        </w:tc>
        <w:tc>
          <w:tcPr>
            <w:tcW w:w="4805" w:type="dxa"/>
            <w:tcBorders>
              <w:top w:val="nil"/>
              <w:left w:val="nil"/>
              <w:bottom w:val="single" w:sz="4" w:space="0" w:color="auto"/>
              <w:right w:val="single" w:sz="4" w:space="0" w:color="auto"/>
            </w:tcBorders>
            <w:shd w:val="clear" w:color="auto" w:fill="auto"/>
            <w:vAlign w:val="center"/>
            <w:hideMark/>
          </w:tcPr>
          <w:p w14:paraId="13C3A84B" w14:textId="77777777" w:rsidR="00914272" w:rsidRPr="00914272" w:rsidRDefault="00914272" w:rsidP="00914272">
            <w:pPr>
              <w:jc w:val="left"/>
              <w:rPr>
                <w:rFonts w:ascii="Calibri" w:hAnsi="Calibri"/>
                <w:sz w:val="20"/>
                <w:szCs w:val="20"/>
              </w:rPr>
            </w:pPr>
            <w:r w:rsidRPr="00914272">
              <w:rPr>
                <w:rFonts w:ascii="Calibri" w:hAnsi="Calibri"/>
                <w:sz w:val="20"/>
                <w:szCs w:val="20"/>
                <w:lang w:val="sr-Cyrl-BA"/>
              </w:rPr>
              <w:t>Расходи накнада у домаћој валути</w:t>
            </w:r>
          </w:p>
        </w:tc>
        <w:tc>
          <w:tcPr>
            <w:tcW w:w="1560" w:type="dxa"/>
            <w:tcBorders>
              <w:top w:val="nil"/>
              <w:left w:val="nil"/>
              <w:bottom w:val="single" w:sz="4" w:space="0" w:color="auto"/>
              <w:right w:val="single" w:sz="4" w:space="0" w:color="auto"/>
            </w:tcBorders>
            <w:shd w:val="clear" w:color="auto" w:fill="auto"/>
            <w:noWrap/>
            <w:vAlign w:val="center"/>
            <w:hideMark/>
          </w:tcPr>
          <w:p w14:paraId="541C144B"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7.777,60</w:t>
            </w:r>
          </w:p>
        </w:tc>
        <w:tc>
          <w:tcPr>
            <w:tcW w:w="1559" w:type="dxa"/>
            <w:tcBorders>
              <w:top w:val="nil"/>
              <w:left w:val="nil"/>
              <w:bottom w:val="single" w:sz="4" w:space="0" w:color="auto"/>
              <w:right w:val="single" w:sz="4" w:space="0" w:color="auto"/>
            </w:tcBorders>
            <w:shd w:val="clear" w:color="auto" w:fill="auto"/>
            <w:noWrap/>
            <w:vAlign w:val="bottom"/>
            <w:hideMark/>
          </w:tcPr>
          <w:p w14:paraId="54437349" w14:textId="77777777" w:rsidR="00914272" w:rsidRPr="00914272" w:rsidRDefault="00914272" w:rsidP="00914272">
            <w:pPr>
              <w:jc w:val="center"/>
              <w:rPr>
                <w:rFonts w:ascii="Calibri" w:hAnsi="Calibri"/>
                <w:sz w:val="20"/>
                <w:szCs w:val="20"/>
              </w:rPr>
            </w:pPr>
            <w:r w:rsidRPr="00914272">
              <w:rPr>
                <w:rFonts w:ascii="Calibri" w:hAnsi="Calibri"/>
                <w:sz w:val="20"/>
                <w:szCs w:val="20"/>
              </w:rPr>
              <w:t>0,25%</w:t>
            </w:r>
          </w:p>
        </w:tc>
      </w:tr>
      <w:tr w:rsidR="00914272" w:rsidRPr="00914272" w14:paraId="46053F49"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F37E9D5"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6410</w:t>
            </w:r>
          </w:p>
        </w:tc>
        <w:tc>
          <w:tcPr>
            <w:tcW w:w="4805" w:type="dxa"/>
            <w:tcBorders>
              <w:top w:val="nil"/>
              <w:left w:val="nil"/>
              <w:bottom w:val="single" w:sz="4" w:space="0" w:color="auto"/>
              <w:right w:val="single" w:sz="4" w:space="0" w:color="auto"/>
            </w:tcBorders>
            <w:shd w:val="clear" w:color="auto" w:fill="auto"/>
            <w:vAlign w:val="center"/>
            <w:hideMark/>
          </w:tcPr>
          <w:p w14:paraId="5F126486"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Расходи резервисања по ванбилансној активи</w:t>
            </w:r>
          </w:p>
        </w:tc>
        <w:tc>
          <w:tcPr>
            <w:tcW w:w="1560" w:type="dxa"/>
            <w:tcBorders>
              <w:top w:val="nil"/>
              <w:left w:val="nil"/>
              <w:bottom w:val="single" w:sz="4" w:space="0" w:color="auto"/>
              <w:right w:val="single" w:sz="4" w:space="0" w:color="auto"/>
            </w:tcBorders>
            <w:shd w:val="clear" w:color="auto" w:fill="auto"/>
            <w:noWrap/>
            <w:vAlign w:val="center"/>
            <w:hideMark/>
          </w:tcPr>
          <w:p w14:paraId="5FA741D8"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752.467,91</w:t>
            </w:r>
          </w:p>
        </w:tc>
        <w:tc>
          <w:tcPr>
            <w:tcW w:w="1559" w:type="dxa"/>
            <w:tcBorders>
              <w:top w:val="nil"/>
              <w:left w:val="nil"/>
              <w:bottom w:val="single" w:sz="4" w:space="0" w:color="auto"/>
              <w:right w:val="single" w:sz="4" w:space="0" w:color="auto"/>
            </w:tcBorders>
            <w:shd w:val="clear" w:color="auto" w:fill="auto"/>
            <w:noWrap/>
            <w:vAlign w:val="bottom"/>
            <w:hideMark/>
          </w:tcPr>
          <w:p w14:paraId="2E95DB27" w14:textId="77777777" w:rsidR="00914272" w:rsidRPr="00914272" w:rsidRDefault="00914272" w:rsidP="00914272">
            <w:pPr>
              <w:jc w:val="center"/>
              <w:rPr>
                <w:rFonts w:ascii="Calibri" w:hAnsi="Calibri"/>
                <w:sz w:val="20"/>
                <w:szCs w:val="20"/>
              </w:rPr>
            </w:pPr>
            <w:r w:rsidRPr="00914272">
              <w:rPr>
                <w:rFonts w:ascii="Calibri" w:hAnsi="Calibri"/>
                <w:sz w:val="20"/>
                <w:szCs w:val="20"/>
              </w:rPr>
              <w:t>24,57%</w:t>
            </w:r>
          </w:p>
        </w:tc>
      </w:tr>
      <w:tr w:rsidR="00914272" w:rsidRPr="00914272" w14:paraId="3C229902"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2599E5F" w14:textId="77777777" w:rsidR="00914272" w:rsidRPr="00914272" w:rsidRDefault="00914272" w:rsidP="00914272">
            <w:pPr>
              <w:jc w:val="center"/>
              <w:rPr>
                <w:rFonts w:ascii="Calibri" w:hAnsi="Calibri"/>
                <w:sz w:val="20"/>
                <w:szCs w:val="20"/>
              </w:rPr>
            </w:pPr>
            <w:r w:rsidRPr="00914272">
              <w:rPr>
                <w:rFonts w:ascii="Calibri" w:hAnsi="Calibri"/>
                <w:sz w:val="20"/>
                <w:szCs w:val="20"/>
              </w:rPr>
              <w:t>622</w:t>
            </w:r>
          </w:p>
        </w:tc>
        <w:tc>
          <w:tcPr>
            <w:tcW w:w="4805" w:type="dxa"/>
            <w:tcBorders>
              <w:top w:val="nil"/>
              <w:left w:val="nil"/>
              <w:bottom w:val="single" w:sz="4" w:space="0" w:color="auto"/>
              <w:right w:val="single" w:sz="4" w:space="0" w:color="auto"/>
            </w:tcBorders>
            <w:shd w:val="clear" w:color="auto" w:fill="auto"/>
            <w:vAlign w:val="center"/>
            <w:hideMark/>
          </w:tcPr>
          <w:p w14:paraId="531D8DF5" w14:textId="77777777" w:rsidR="00914272" w:rsidRPr="00914272" w:rsidRDefault="00914272" w:rsidP="00914272">
            <w:pPr>
              <w:jc w:val="left"/>
              <w:rPr>
                <w:rFonts w:ascii="Calibri" w:hAnsi="Calibri"/>
                <w:sz w:val="20"/>
                <w:szCs w:val="20"/>
              </w:rPr>
            </w:pPr>
            <w:r w:rsidRPr="00914272">
              <w:rPr>
                <w:rFonts w:ascii="Calibri" w:hAnsi="Calibri"/>
                <w:sz w:val="20"/>
                <w:szCs w:val="20"/>
              </w:rPr>
              <w:t>Губици по основу престанка признавања финансијских средстава</w:t>
            </w:r>
          </w:p>
        </w:tc>
        <w:tc>
          <w:tcPr>
            <w:tcW w:w="1560" w:type="dxa"/>
            <w:tcBorders>
              <w:top w:val="nil"/>
              <w:left w:val="nil"/>
              <w:bottom w:val="single" w:sz="4" w:space="0" w:color="auto"/>
              <w:right w:val="single" w:sz="4" w:space="0" w:color="auto"/>
            </w:tcBorders>
            <w:shd w:val="clear" w:color="auto" w:fill="auto"/>
            <w:noWrap/>
            <w:vAlign w:val="center"/>
            <w:hideMark/>
          </w:tcPr>
          <w:p w14:paraId="2FDBDBFA"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63.142,23</w:t>
            </w:r>
          </w:p>
        </w:tc>
        <w:tc>
          <w:tcPr>
            <w:tcW w:w="1559" w:type="dxa"/>
            <w:tcBorders>
              <w:top w:val="nil"/>
              <w:left w:val="nil"/>
              <w:bottom w:val="single" w:sz="4" w:space="0" w:color="auto"/>
              <w:right w:val="single" w:sz="4" w:space="0" w:color="auto"/>
            </w:tcBorders>
            <w:shd w:val="clear" w:color="auto" w:fill="auto"/>
            <w:noWrap/>
            <w:vAlign w:val="center"/>
            <w:hideMark/>
          </w:tcPr>
          <w:p w14:paraId="2092D5D9" w14:textId="77777777" w:rsidR="00914272" w:rsidRPr="00914272" w:rsidRDefault="00914272" w:rsidP="00B54DD1">
            <w:pPr>
              <w:jc w:val="center"/>
              <w:rPr>
                <w:rFonts w:ascii="Calibri" w:hAnsi="Calibri"/>
                <w:sz w:val="20"/>
                <w:szCs w:val="20"/>
              </w:rPr>
            </w:pPr>
            <w:r w:rsidRPr="00914272">
              <w:rPr>
                <w:rFonts w:ascii="Calibri" w:hAnsi="Calibri"/>
                <w:sz w:val="20"/>
                <w:szCs w:val="20"/>
              </w:rPr>
              <w:t>2,06%</w:t>
            </w:r>
          </w:p>
        </w:tc>
      </w:tr>
      <w:tr w:rsidR="00914272" w:rsidRPr="00914272" w14:paraId="1312DB85"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54BDE4"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650</w:t>
            </w:r>
          </w:p>
        </w:tc>
        <w:tc>
          <w:tcPr>
            <w:tcW w:w="4805" w:type="dxa"/>
            <w:tcBorders>
              <w:top w:val="nil"/>
              <w:left w:val="nil"/>
              <w:bottom w:val="single" w:sz="4" w:space="0" w:color="auto"/>
              <w:right w:val="single" w:sz="4" w:space="0" w:color="auto"/>
            </w:tcBorders>
            <w:shd w:val="clear" w:color="auto" w:fill="auto"/>
            <w:vAlign w:val="center"/>
            <w:hideMark/>
          </w:tcPr>
          <w:p w14:paraId="4C059757"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 xml:space="preserve">Трошкови зарада </w:t>
            </w:r>
          </w:p>
        </w:tc>
        <w:tc>
          <w:tcPr>
            <w:tcW w:w="1560" w:type="dxa"/>
            <w:tcBorders>
              <w:top w:val="nil"/>
              <w:left w:val="nil"/>
              <w:bottom w:val="single" w:sz="4" w:space="0" w:color="auto"/>
              <w:right w:val="single" w:sz="4" w:space="0" w:color="auto"/>
            </w:tcBorders>
            <w:shd w:val="clear" w:color="auto" w:fill="auto"/>
            <w:noWrap/>
            <w:vAlign w:val="center"/>
            <w:hideMark/>
          </w:tcPr>
          <w:p w14:paraId="0D8BB156"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791.950,01</w:t>
            </w:r>
          </w:p>
        </w:tc>
        <w:tc>
          <w:tcPr>
            <w:tcW w:w="1559" w:type="dxa"/>
            <w:tcBorders>
              <w:top w:val="nil"/>
              <w:left w:val="nil"/>
              <w:bottom w:val="single" w:sz="4" w:space="0" w:color="auto"/>
              <w:right w:val="single" w:sz="4" w:space="0" w:color="auto"/>
            </w:tcBorders>
            <w:shd w:val="clear" w:color="auto" w:fill="auto"/>
            <w:noWrap/>
            <w:vAlign w:val="center"/>
            <w:hideMark/>
          </w:tcPr>
          <w:p w14:paraId="431EE3B8" w14:textId="77777777" w:rsidR="00914272" w:rsidRPr="00914272" w:rsidRDefault="00914272" w:rsidP="00914272">
            <w:pPr>
              <w:jc w:val="center"/>
              <w:rPr>
                <w:rFonts w:ascii="Calibri" w:hAnsi="Calibri"/>
                <w:sz w:val="20"/>
                <w:szCs w:val="20"/>
              </w:rPr>
            </w:pPr>
            <w:r w:rsidRPr="00914272">
              <w:rPr>
                <w:rFonts w:ascii="Calibri" w:hAnsi="Calibri"/>
                <w:sz w:val="20"/>
                <w:szCs w:val="20"/>
              </w:rPr>
              <w:t>25,86%</w:t>
            </w:r>
          </w:p>
        </w:tc>
      </w:tr>
      <w:tr w:rsidR="00914272" w:rsidRPr="00914272" w14:paraId="4174C55D"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57C3057"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651</w:t>
            </w:r>
          </w:p>
        </w:tc>
        <w:tc>
          <w:tcPr>
            <w:tcW w:w="4805" w:type="dxa"/>
            <w:tcBorders>
              <w:top w:val="nil"/>
              <w:left w:val="nil"/>
              <w:bottom w:val="single" w:sz="4" w:space="0" w:color="auto"/>
              <w:right w:val="single" w:sz="4" w:space="0" w:color="auto"/>
            </w:tcBorders>
            <w:shd w:val="clear" w:color="auto" w:fill="auto"/>
            <w:vAlign w:val="center"/>
            <w:hideMark/>
          </w:tcPr>
          <w:p w14:paraId="18576E32"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накнада зарада</w:t>
            </w:r>
          </w:p>
        </w:tc>
        <w:tc>
          <w:tcPr>
            <w:tcW w:w="1560" w:type="dxa"/>
            <w:tcBorders>
              <w:top w:val="nil"/>
              <w:left w:val="nil"/>
              <w:bottom w:val="single" w:sz="4" w:space="0" w:color="auto"/>
              <w:right w:val="single" w:sz="4" w:space="0" w:color="auto"/>
            </w:tcBorders>
            <w:shd w:val="clear" w:color="auto" w:fill="auto"/>
            <w:noWrap/>
            <w:vAlign w:val="center"/>
            <w:hideMark/>
          </w:tcPr>
          <w:p w14:paraId="6D2B3FEA"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61.908,87</w:t>
            </w:r>
          </w:p>
        </w:tc>
        <w:tc>
          <w:tcPr>
            <w:tcW w:w="1559" w:type="dxa"/>
            <w:tcBorders>
              <w:top w:val="nil"/>
              <w:left w:val="nil"/>
              <w:bottom w:val="single" w:sz="4" w:space="0" w:color="auto"/>
              <w:right w:val="single" w:sz="4" w:space="0" w:color="auto"/>
            </w:tcBorders>
            <w:shd w:val="clear" w:color="auto" w:fill="auto"/>
            <w:noWrap/>
            <w:vAlign w:val="center"/>
            <w:hideMark/>
          </w:tcPr>
          <w:p w14:paraId="2F3FE65A" w14:textId="77777777" w:rsidR="00914272" w:rsidRPr="00914272" w:rsidRDefault="00914272" w:rsidP="00914272">
            <w:pPr>
              <w:jc w:val="center"/>
              <w:rPr>
                <w:rFonts w:ascii="Calibri" w:hAnsi="Calibri"/>
                <w:sz w:val="20"/>
                <w:szCs w:val="20"/>
              </w:rPr>
            </w:pPr>
            <w:r w:rsidRPr="00914272">
              <w:rPr>
                <w:rFonts w:ascii="Calibri" w:hAnsi="Calibri"/>
                <w:sz w:val="20"/>
                <w:szCs w:val="20"/>
              </w:rPr>
              <w:t>2,02%</w:t>
            </w:r>
          </w:p>
        </w:tc>
      </w:tr>
      <w:tr w:rsidR="00914272" w:rsidRPr="00914272" w14:paraId="46596AC2"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7C4633E"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652</w:t>
            </w:r>
          </w:p>
        </w:tc>
        <w:tc>
          <w:tcPr>
            <w:tcW w:w="4805" w:type="dxa"/>
            <w:tcBorders>
              <w:top w:val="nil"/>
              <w:left w:val="nil"/>
              <w:bottom w:val="single" w:sz="4" w:space="0" w:color="auto"/>
              <w:right w:val="single" w:sz="4" w:space="0" w:color="auto"/>
            </w:tcBorders>
            <w:shd w:val="clear" w:color="auto" w:fill="auto"/>
            <w:vAlign w:val="center"/>
            <w:hideMark/>
          </w:tcPr>
          <w:p w14:paraId="04200EEE"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пореза на зараде и накнада зарада</w:t>
            </w:r>
          </w:p>
        </w:tc>
        <w:tc>
          <w:tcPr>
            <w:tcW w:w="1560" w:type="dxa"/>
            <w:tcBorders>
              <w:top w:val="nil"/>
              <w:left w:val="nil"/>
              <w:bottom w:val="single" w:sz="4" w:space="0" w:color="auto"/>
              <w:right w:val="single" w:sz="4" w:space="0" w:color="auto"/>
            </w:tcBorders>
            <w:shd w:val="clear" w:color="auto" w:fill="auto"/>
            <w:noWrap/>
            <w:vAlign w:val="center"/>
            <w:hideMark/>
          </w:tcPr>
          <w:p w14:paraId="5CE965EC"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92.702,43</w:t>
            </w:r>
          </w:p>
        </w:tc>
        <w:tc>
          <w:tcPr>
            <w:tcW w:w="1559" w:type="dxa"/>
            <w:tcBorders>
              <w:top w:val="nil"/>
              <w:left w:val="nil"/>
              <w:bottom w:val="single" w:sz="4" w:space="0" w:color="auto"/>
              <w:right w:val="single" w:sz="4" w:space="0" w:color="auto"/>
            </w:tcBorders>
            <w:shd w:val="clear" w:color="auto" w:fill="auto"/>
            <w:noWrap/>
            <w:vAlign w:val="center"/>
            <w:hideMark/>
          </w:tcPr>
          <w:p w14:paraId="00F8080C" w14:textId="77777777" w:rsidR="00914272" w:rsidRPr="00914272" w:rsidRDefault="00914272" w:rsidP="00914272">
            <w:pPr>
              <w:jc w:val="center"/>
              <w:rPr>
                <w:rFonts w:ascii="Calibri" w:hAnsi="Calibri"/>
                <w:sz w:val="20"/>
                <w:szCs w:val="20"/>
              </w:rPr>
            </w:pPr>
            <w:r w:rsidRPr="00914272">
              <w:rPr>
                <w:rFonts w:ascii="Calibri" w:hAnsi="Calibri"/>
                <w:sz w:val="20"/>
                <w:szCs w:val="20"/>
              </w:rPr>
              <w:t>3,03%</w:t>
            </w:r>
          </w:p>
        </w:tc>
      </w:tr>
      <w:tr w:rsidR="00914272" w:rsidRPr="00914272" w14:paraId="7E4CC862"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F61695E"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653</w:t>
            </w:r>
          </w:p>
        </w:tc>
        <w:tc>
          <w:tcPr>
            <w:tcW w:w="4805" w:type="dxa"/>
            <w:tcBorders>
              <w:top w:val="nil"/>
              <w:left w:val="nil"/>
              <w:bottom w:val="single" w:sz="4" w:space="0" w:color="auto"/>
              <w:right w:val="single" w:sz="4" w:space="0" w:color="auto"/>
            </w:tcBorders>
            <w:shd w:val="clear" w:color="auto" w:fill="auto"/>
            <w:vAlign w:val="center"/>
            <w:hideMark/>
          </w:tcPr>
          <w:p w14:paraId="07143F1A"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доприноса на зараде и накнаде зарада</w:t>
            </w:r>
          </w:p>
        </w:tc>
        <w:tc>
          <w:tcPr>
            <w:tcW w:w="1560" w:type="dxa"/>
            <w:tcBorders>
              <w:top w:val="nil"/>
              <w:left w:val="nil"/>
              <w:bottom w:val="single" w:sz="4" w:space="0" w:color="auto"/>
              <w:right w:val="single" w:sz="4" w:space="0" w:color="auto"/>
            </w:tcBorders>
            <w:shd w:val="clear" w:color="auto" w:fill="auto"/>
            <w:noWrap/>
            <w:vAlign w:val="center"/>
            <w:hideMark/>
          </w:tcPr>
          <w:p w14:paraId="2EC576FA"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435.557,72</w:t>
            </w:r>
          </w:p>
        </w:tc>
        <w:tc>
          <w:tcPr>
            <w:tcW w:w="1559" w:type="dxa"/>
            <w:tcBorders>
              <w:top w:val="nil"/>
              <w:left w:val="nil"/>
              <w:bottom w:val="single" w:sz="4" w:space="0" w:color="auto"/>
              <w:right w:val="single" w:sz="4" w:space="0" w:color="auto"/>
            </w:tcBorders>
            <w:shd w:val="clear" w:color="auto" w:fill="auto"/>
            <w:noWrap/>
            <w:vAlign w:val="center"/>
            <w:hideMark/>
          </w:tcPr>
          <w:p w14:paraId="687226F1" w14:textId="77777777" w:rsidR="00914272" w:rsidRPr="00914272" w:rsidRDefault="00914272" w:rsidP="00914272">
            <w:pPr>
              <w:jc w:val="center"/>
              <w:rPr>
                <w:rFonts w:ascii="Calibri" w:hAnsi="Calibri"/>
                <w:sz w:val="20"/>
                <w:szCs w:val="20"/>
              </w:rPr>
            </w:pPr>
            <w:r w:rsidRPr="00914272">
              <w:rPr>
                <w:rFonts w:ascii="Calibri" w:hAnsi="Calibri"/>
                <w:sz w:val="20"/>
                <w:szCs w:val="20"/>
              </w:rPr>
              <w:t>14,22%</w:t>
            </w:r>
          </w:p>
        </w:tc>
      </w:tr>
      <w:tr w:rsidR="00914272" w:rsidRPr="00914272" w14:paraId="0FEF3740"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2B059D3"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654</w:t>
            </w:r>
          </w:p>
        </w:tc>
        <w:tc>
          <w:tcPr>
            <w:tcW w:w="4805" w:type="dxa"/>
            <w:tcBorders>
              <w:top w:val="nil"/>
              <w:left w:val="nil"/>
              <w:bottom w:val="single" w:sz="4" w:space="0" w:color="auto"/>
              <w:right w:val="single" w:sz="4" w:space="0" w:color="auto"/>
            </w:tcBorders>
            <w:shd w:val="clear" w:color="auto" w:fill="auto"/>
            <w:vAlign w:val="center"/>
            <w:hideMark/>
          </w:tcPr>
          <w:p w14:paraId="2272E82B"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накнада за привремене и повремене послове</w:t>
            </w:r>
          </w:p>
        </w:tc>
        <w:tc>
          <w:tcPr>
            <w:tcW w:w="1560" w:type="dxa"/>
            <w:tcBorders>
              <w:top w:val="nil"/>
              <w:left w:val="nil"/>
              <w:bottom w:val="single" w:sz="4" w:space="0" w:color="auto"/>
              <w:right w:val="single" w:sz="4" w:space="0" w:color="auto"/>
            </w:tcBorders>
            <w:shd w:val="clear" w:color="auto" w:fill="auto"/>
            <w:noWrap/>
            <w:vAlign w:val="center"/>
            <w:hideMark/>
          </w:tcPr>
          <w:p w14:paraId="2D417E68"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18.780,00</w:t>
            </w:r>
          </w:p>
        </w:tc>
        <w:tc>
          <w:tcPr>
            <w:tcW w:w="1559" w:type="dxa"/>
            <w:tcBorders>
              <w:top w:val="nil"/>
              <w:left w:val="nil"/>
              <w:bottom w:val="single" w:sz="4" w:space="0" w:color="auto"/>
              <w:right w:val="single" w:sz="4" w:space="0" w:color="auto"/>
            </w:tcBorders>
            <w:shd w:val="clear" w:color="auto" w:fill="auto"/>
            <w:noWrap/>
            <w:vAlign w:val="center"/>
            <w:hideMark/>
          </w:tcPr>
          <w:p w14:paraId="449B2BE1" w14:textId="77777777" w:rsidR="00914272" w:rsidRPr="00914272" w:rsidRDefault="00914272" w:rsidP="00914272">
            <w:pPr>
              <w:jc w:val="center"/>
              <w:rPr>
                <w:rFonts w:ascii="Calibri" w:hAnsi="Calibri"/>
                <w:sz w:val="20"/>
                <w:szCs w:val="20"/>
              </w:rPr>
            </w:pPr>
            <w:r w:rsidRPr="00914272">
              <w:rPr>
                <w:rFonts w:ascii="Calibri" w:hAnsi="Calibri"/>
                <w:sz w:val="20"/>
                <w:szCs w:val="20"/>
              </w:rPr>
              <w:t>0,61%</w:t>
            </w:r>
          </w:p>
        </w:tc>
      </w:tr>
      <w:tr w:rsidR="00914272" w:rsidRPr="00914272" w14:paraId="099DE0B2"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72743ED" w14:textId="77777777" w:rsidR="00914272" w:rsidRPr="00914272" w:rsidRDefault="00914272" w:rsidP="00914272">
            <w:pPr>
              <w:jc w:val="center"/>
              <w:rPr>
                <w:rFonts w:ascii="Calibri" w:hAnsi="Calibri"/>
                <w:color w:val="auto"/>
                <w:sz w:val="20"/>
                <w:szCs w:val="20"/>
              </w:rPr>
            </w:pPr>
            <w:r w:rsidRPr="00914272">
              <w:rPr>
                <w:rFonts w:ascii="Calibri" w:hAnsi="Calibri"/>
                <w:color w:val="auto"/>
                <w:sz w:val="20"/>
                <w:szCs w:val="20"/>
                <w:lang w:val="sr-Latn-RS"/>
              </w:rPr>
              <w:t>655</w:t>
            </w:r>
          </w:p>
        </w:tc>
        <w:tc>
          <w:tcPr>
            <w:tcW w:w="4805" w:type="dxa"/>
            <w:tcBorders>
              <w:top w:val="nil"/>
              <w:left w:val="nil"/>
              <w:bottom w:val="single" w:sz="4" w:space="0" w:color="auto"/>
              <w:right w:val="single" w:sz="4" w:space="0" w:color="auto"/>
            </w:tcBorders>
            <w:shd w:val="clear" w:color="auto" w:fill="auto"/>
            <w:vAlign w:val="center"/>
            <w:hideMark/>
          </w:tcPr>
          <w:p w14:paraId="6865C558" w14:textId="77777777" w:rsidR="00914272" w:rsidRPr="00914272" w:rsidRDefault="00914272" w:rsidP="00914272">
            <w:pPr>
              <w:jc w:val="left"/>
              <w:rPr>
                <w:rFonts w:ascii="Calibri" w:hAnsi="Calibri"/>
                <w:color w:val="auto"/>
                <w:sz w:val="20"/>
                <w:szCs w:val="20"/>
              </w:rPr>
            </w:pPr>
            <w:r w:rsidRPr="00914272">
              <w:rPr>
                <w:rFonts w:ascii="Calibri" w:hAnsi="Calibri"/>
                <w:color w:val="auto"/>
                <w:sz w:val="20"/>
                <w:szCs w:val="20"/>
                <w:lang w:val="sr-Latn-RS"/>
              </w:rPr>
              <w:t>Остали лични расходи</w:t>
            </w:r>
          </w:p>
        </w:tc>
        <w:tc>
          <w:tcPr>
            <w:tcW w:w="1560" w:type="dxa"/>
            <w:tcBorders>
              <w:top w:val="nil"/>
              <w:left w:val="nil"/>
              <w:bottom w:val="single" w:sz="4" w:space="0" w:color="auto"/>
              <w:right w:val="single" w:sz="4" w:space="0" w:color="auto"/>
            </w:tcBorders>
            <w:shd w:val="clear" w:color="auto" w:fill="auto"/>
            <w:noWrap/>
            <w:vAlign w:val="center"/>
            <w:hideMark/>
          </w:tcPr>
          <w:p w14:paraId="2350B08A"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108.882,80</w:t>
            </w:r>
          </w:p>
        </w:tc>
        <w:tc>
          <w:tcPr>
            <w:tcW w:w="1559" w:type="dxa"/>
            <w:tcBorders>
              <w:top w:val="nil"/>
              <w:left w:val="nil"/>
              <w:bottom w:val="single" w:sz="4" w:space="0" w:color="auto"/>
              <w:right w:val="single" w:sz="4" w:space="0" w:color="auto"/>
            </w:tcBorders>
            <w:shd w:val="clear" w:color="auto" w:fill="auto"/>
            <w:noWrap/>
            <w:vAlign w:val="center"/>
            <w:hideMark/>
          </w:tcPr>
          <w:p w14:paraId="6991635D" w14:textId="77777777" w:rsidR="00914272" w:rsidRPr="00914272" w:rsidRDefault="00914272" w:rsidP="00914272">
            <w:pPr>
              <w:jc w:val="center"/>
              <w:rPr>
                <w:rFonts w:ascii="Calibri" w:hAnsi="Calibri"/>
                <w:sz w:val="20"/>
                <w:szCs w:val="20"/>
              </w:rPr>
            </w:pPr>
            <w:r w:rsidRPr="00914272">
              <w:rPr>
                <w:rFonts w:ascii="Calibri" w:hAnsi="Calibri"/>
                <w:sz w:val="20"/>
                <w:szCs w:val="20"/>
              </w:rPr>
              <w:t>3,56%</w:t>
            </w:r>
          </w:p>
        </w:tc>
      </w:tr>
      <w:tr w:rsidR="00914272" w:rsidRPr="00914272" w14:paraId="3594A516"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8C1D473"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660</w:t>
            </w:r>
          </w:p>
        </w:tc>
        <w:tc>
          <w:tcPr>
            <w:tcW w:w="4805" w:type="dxa"/>
            <w:tcBorders>
              <w:top w:val="nil"/>
              <w:left w:val="nil"/>
              <w:bottom w:val="single" w:sz="4" w:space="0" w:color="auto"/>
              <w:right w:val="single" w:sz="4" w:space="0" w:color="auto"/>
            </w:tcBorders>
            <w:shd w:val="clear" w:color="auto" w:fill="auto"/>
            <w:vAlign w:val="center"/>
            <w:hideMark/>
          </w:tcPr>
          <w:p w14:paraId="0EFFF3B5"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материјала</w:t>
            </w:r>
          </w:p>
        </w:tc>
        <w:tc>
          <w:tcPr>
            <w:tcW w:w="1560" w:type="dxa"/>
            <w:tcBorders>
              <w:top w:val="nil"/>
              <w:left w:val="nil"/>
              <w:bottom w:val="single" w:sz="4" w:space="0" w:color="auto"/>
              <w:right w:val="single" w:sz="4" w:space="0" w:color="auto"/>
            </w:tcBorders>
            <w:shd w:val="clear" w:color="auto" w:fill="auto"/>
            <w:noWrap/>
            <w:vAlign w:val="center"/>
            <w:hideMark/>
          </w:tcPr>
          <w:p w14:paraId="0C351583"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5.980,09</w:t>
            </w:r>
          </w:p>
        </w:tc>
        <w:tc>
          <w:tcPr>
            <w:tcW w:w="1559" w:type="dxa"/>
            <w:tcBorders>
              <w:top w:val="nil"/>
              <w:left w:val="nil"/>
              <w:bottom w:val="single" w:sz="4" w:space="0" w:color="auto"/>
              <w:right w:val="single" w:sz="4" w:space="0" w:color="auto"/>
            </w:tcBorders>
            <w:shd w:val="clear" w:color="auto" w:fill="auto"/>
            <w:noWrap/>
            <w:vAlign w:val="center"/>
            <w:hideMark/>
          </w:tcPr>
          <w:p w14:paraId="6B870340" w14:textId="77777777" w:rsidR="00914272" w:rsidRPr="00914272" w:rsidRDefault="00914272" w:rsidP="00914272">
            <w:pPr>
              <w:jc w:val="center"/>
              <w:rPr>
                <w:rFonts w:ascii="Calibri" w:hAnsi="Calibri"/>
                <w:sz w:val="20"/>
                <w:szCs w:val="20"/>
              </w:rPr>
            </w:pPr>
            <w:r w:rsidRPr="00914272">
              <w:rPr>
                <w:rFonts w:ascii="Calibri" w:hAnsi="Calibri"/>
                <w:sz w:val="20"/>
                <w:szCs w:val="20"/>
              </w:rPr>
              <w:t>0,20%</w:t>
            </w:r>
          </w:p>
        </w:tc>
      </w:tr>
      <w:tr w:rsidR="00914272" w:rsidRPr="00914272" w14:paraId="6249A9D4"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28E1A21"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661</w:t>
            </w:r>
          </w:p>
        </w:tc>
        <w:tc>
          <w:tcPr>
            <w:tcW w:w="4805" w:type="dxa"/>
            <w:tcBorders>
              <w:top w:val="nil"/>
              <w:left w:val="nil"/>
              <w:bottom w:val="single" w:sz="4" w:space="0" w:color="auto"/>
              <w:right w:val="single" w:sz="4" w:space="0" w:color="auto"/>
            </w:tcBorders>
            <w:shd w:val="clear" w:color="auto" w:fill="auto"/>
            <w:vAlign w:val="center"/>
            <w:hideMark/>
          </w:tcPr>
          <w:p w14:paraId="408D355C"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производних услуга</w:t>
            </w:r>
          </w:p>
        </w:tc>
        <w:tc>
          <w:tcPr>
            <w:tcW w:w="1560" w:type="dxa"/>
            <w:tcBorders>
              <w:top w:val="nil"/>
              <w:left w:val="nil"/>
              <w:bottom w:val="single" w:sz="4" w:space="0" w:color="auto"/>
              <w:right w:val="single" w:sz="4" w:space="0" w:color="auto"/>
            </w:tcBorders>
            <w:shd w:val="clear" w:color="auto" w:fill="auto"/>
            <w:noWrap/>
            <w:vAlign w:val="center"/>
            <w:hideMark/>
          </w:tcPr>
          <w:p w14:paraId="0444EE4E"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57.451,93</w:t>
            </w:r>
          </w:p>
        </w:tc>
        <w:tc>
          <w:tcPr>
            <w:tcW w:w="1559" w:type="dxa"/>
            <w:tcBorders>
              <w:top w:val="nil"/>
              <w:left w:val="nil"/>
              <w:bottom w:val="single" w:sz="4" w:space="0" w:color="auto"/>
              <w:right w:val="single" w:sz="4" w:space="0" w:color="auto"/>
            </w:tcBorders>
            <w:shd w:val="clear" w:color="auto" w:fill="auto"/>
            <w:noWrap/>
            <w:vAlign w:val="center"/>
            <w:hideMark/>
          </w:tcPr>
          <w:p w14:paraId="6376DEAE" w14:textId="77777777" w:rsidR="00914272" w:rsidRPr="00914272" w:rsidRDefault="00914272" w:rsidP="00914272">
            <w:pPr>
              <w:jc w:val="center"/>
              <w:rPr>
                <w:rFonts w:ascii="Calibri" w:hAnsi="Calibri"/>
                <w:sz w:val="20"/>
                <w:szCs w:val="20"/>
              </w:rPr>
            </w:pPr>
            <w:r w:rsidRPr="00914272">
              <w:rPr>
                <w:rFonts w:ascii="Calibri" w:hAnsi="Calibri"/>
                <w:sz w:val="20"/>
                <w:szCs w:val="20"/>
              </w:rPr>
              <w:t>1,88%</w:t>
            </w:r>
          </w:p>
        </w:tc>
      </w:tr>
      <w:tr w:rsidR="00914272" w:rsidRPr="00914272" w14:paraId="1CBC17AD"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F050414"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662</w:t>
            </w:r>
          </w:p>
        </w:tc>
        <w:tc>
          <w:tcPr>
            <w:tcW w:w="4805" w:type="dxa"/>
            <w:tcBorders>
              <w:top w:val="nil"/>
              <w:left w:val="nil"/>
              <w:bottom w:val="single" w:sz="4" w:space="0" w:color="auto"/>
              <w:right w:val="single" w:sz="4" w:space="0" w:color="auto"/>
            </w:tcBorders>
            <w:shd w:val="clear" w:color="auto" w:fill="auto"/>
            <w:vAlign w:val="center"/>
            <w:hideMark/>
          </w:tcPr>
          <w:p w14:paraId="3E7A59D8"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амортизације</w:t>
            </w:r>
          </w:p>
        </w:tc>
        <w:tc>
          <w:tcPr>
            <w:tcW w:w="1560" w:type="dxa"/>
            <w:tcBorders>
              <w:top w:val="nil"/>
              <w:left w:val="nil"/>
              <w:bottom w:val="single" w:sz="4" w:space="0" w:color="auto"/>
              <w:right w:val="single" w:sz="4" w:space="0" w:color="auto"/>
            </w:tcBorders>
            <w:shd w:val="clear" w:color="auto" w:fill="auto"/>
            <w:noWrap/>
            <w:vAlign w:val="center"/>
            <w:hideMark/>
          </w:tcPr>
          <w:p w14:paraId="76D5807E"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47.912,67</w:t>
            </w:r>
          </w:p>
        </w:tc>
        <w:tc>
          <w:tcPr>
            <w:tcW w:w="1559" w:type="dxa"/>
            <w:tcBorders>
              <w:top w:val="nil"/>
              <w:left w:val="nil"/>
              <w:bottom w:val="single" w:sz="4" w:space="0" w:color="auto"/>
              <w:right w:val="single" w:sz="4" w:space="0" w:color="auto"/>
            </w:tcBorders>
            <w:shd w:val="clear" w:color="auto" w:fill="auto"/>
            <w:noWrap/>
            <w:vAlign w:val="center"/>
            <w:hideMark/>
          </w:tcPr>
          <w:p w14:paraId="77AF577C" w14:textId="77777777" w:rsidR="00914272" w:rsidRPr="00914272" w:rsidRDefault="00914272" w:rsidP="00914272">
            <w:pPr>
              <w:jc w:val="center"/>
              <w:rPr>
                <w:rFonts w:ascii="Calibri" w:hAnsi="Calibri"/>
                <w:sz w:val="20"/>
                <w:szCs w:val="20"/>
              </w:rPr>
            </w:pPr>
            <w:r w:rsidRPr="00914272">
              <w:rPr>
                <w:rFonts w:ascii="Calibri" w:hAnsi="Calibri"/>
                <w:sz w:val="20"/>
                <w:szCs w:val="20"/>
              </w:rPr>
              <w:t>1,56%</w:t>
            </w:r>
          </w:p>
        </w:tc>
      </w:tr>
      <w:tr w:rsidR="00914272" w:rsidRPr="00914272" w14:paraId="56AB9217"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6E5036A"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664</w:t>
            </w:r>
          </w:p>
        </w:tc>
        <w:tc>
          <w:tcPr>
            <w:tcW w:w="4805" w:type="dxa"/>
            <w:tcBorders>
              <w:top w:val="nil"/>
              <w:left w:val="nil"/>
              <w:bottom w:val="single" w:sz="4" w:space="0" w:color="auto"/>
              <w:right w:val="single" w:sz="4" w:space="0" w:color="auto"/>
            </w:tcBorders>
            <w:shd w:val="clear" w:color="auto" w:fill="auto"/>
            <w:vAlign w:val="center"/>
            <w:hideMark/>
          </w:tcPr>
          <w:p w14:paraId="4AC0E2DB"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Нематеријални трошкови (без пореза и доприноса)</w:t>
            </w:r>
          </w:p>
        </w:tc>
        <w:tc>
          <w:tcPr>
            <w:tcW w:w="1560" w:type="dxa"/>
            <w:tcBorders>
              <w:top w:val="nil"/>
              <w:left w:val="nil"/>
              <w:bottom w:val="single" w:sz="4" w:space="0" w:color="auto"/>
              <w:right w:val="single" w:sz="4" w:space="0" w:color="auto"/>
            </w:tcBorders>
            <w:shd w:val="clear" w:color="auto" w:fill="auto"/>
            <w:noWrap/>
            <w:vAlign w:val="center"/>
            <w:hideMark/>
          </w:tcPr>
          <w:p w14:paraId="64CBD462"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182.942,28</w:t>
            </w:r>
          </w:p>
        </w:tc>
        <w:tc>
          <w:tcPr>
            <w:tcW w:w="1559" w:type="dxa"/>
            <w:tcBorders>
              <w:top w:val="nil"/>
              <w:left w:val="nil"/>
              <w:bottom w:val="single" w:sz="4" w:space="0" w:color="auto"/>
              <w:right w:val="single" w:sz="4" w:space="0" w:color="auto"/>
            </w:tcBorders>
            <w:shd w:val="clear" w:color="auto" w:fill="auto"/>
            <w:noWrap/>
            <w:vAlign w:val="center"/>
            <w:hideMark/>
          </w:tcPr>
          <w:p w14:paraId="7A9F91DC" w14:textId="77777777" w:rsidR="00914272" w:rsidRPr="00914272" w:rsidRDefault="00914272" w:rsidP="00914272">
            <w:pPr>
              <w:jc w:val="center"/>
              <w:rPr>
                <w:rFonts w:ascii="Calibri" w:hAnsi="Calibri"/>
                <w:sz w:val="20"/>
                <w:szCs w:val="20"/>
              </w:rPr>
            </w:pPr>
            <w:r w:rsidRPr="00914272">
              <w:rPr>
                <w:rFonts w:ascii="Calibri" w:hAnsi="Calibri"/>
                <w:sz w:val="20"/>
                <w:szCs w:val="20"/>
              </w:rPr>
              <w:t>5,97%</w:t>
            </w:r>
          </w:p>
        </w:tc>
      </w:tr>
      <w:tr w:rsidR="00914272" w:rsidRPr="00914272" w14:paraId="3471C8C4"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F106F39"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665</w:t>
            </w:r>
          </w:p>
        </w:tc>
        <w:tc>
          <w:tcPr>
            <w:tcW w:w="4805" w:type="dxa"/>
            <w:tcBorders>
              <w:top w:val="nil"/>
              <w:left w:val="nil"/>
              <w:bottom w:val="single" w:sz="4" w:space="0" w:color="auto"/>
              <w:right w:val="single" w:sz="4" w:space="0" w:color="auto"/>
            </w:tcBorders>
            <w:shd w:val="clear" w:color="auto" w:fill="auto"/>
            <w:vAlign w:val="center"/>
            <w:hideMark/>
          </w:tcPr>
          <w:p w14:paraId="0487A2A5"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Трошкови по основу пореза и доприноса</w:t>
            </w:r>
          </w:p>
        </w:tc>
        <w:tc>
          <w:tcPr>
            <w:tcW w:w="1560" w:type="dxa"/>
            <w:tcBorders>
              <w:top w:val="nil"/>
              <w:left w:val="nil"/>
              <w:bottom w:val="single" w:sz="4" w:space="0" w:color="auto"/>
              <w:right w:val="single" w:sz="4" w:space="0" w:color="auto"/>
            </w:tcBorders>
            <w:shd w:val="clear" w:color="auto" w:fill="auto"/>
            <w:noWrap/>
            <w:vAlign w:val="center"/>
            <w:hideMark/>
          </w:tcPr>
          <w:p w14:paraId="62774B9D" w14:textId="77777777" w:rsidR="00914272" w:rsidRPr="00914272" w:rsidRDefault="00914272" w:rsidP="00914272">
            <w:pPr>
              <w:jc w:val="right"/>
              <w:rPr>
                <w:rFonts w:ascii="Calibri" w:hAnsi="Calibri"/>
                <w:sz w:val="20"/>
                <w:szCs w:val="20"/>
              </w:rPr>
            </w:pPr>
            <w:r w:rsidRPr="00914272">
              <w:rPr>
                <w:rFonts w:ascii="Calibri" w:hAnsi="Calibri"/>
                <w:sz w:val="20"/>
                <w:szCs w:val="20"/>
                <w:lang w:val="sr-Cyrl-BA"/>
              </w:rPr>
              <w:t>273,00</w:t>
            </w:r>
          </w:p>
        </w:tc>
        <w:tc>
          <w:tcPr>
            <w:tcW w:w="1559" w:type="dxa"/>
            <w:tcBorders>
              <w:top w:val="nil"/>
              <w:left w:val="nil"/>
              <w:bottom w:val="single" w:sz="4" w:space="0" w:color="auto"/>
              <w:right w:val="single" w:sz="4" w:space="0" w:color="auto"/>
            </w:tcBorders>
            <w:shd w:val="clear" w:color="auto" w:fill="auto"/>
            <w:noWrap/>
            <w:vAlign w:val="center"/>
            <w:hideMark/>
          </w:tcPr>
          <w:p w14:paraId="159C9E4E" w14:textId="77777777" w:rsidR="00914272" w:rsidRPr="00914272" w:rsidRDefault="00914272" w:rsidP="00914272">
            <w:pPr>
              <w:jc w:val="center"/>
              <w:rPr>
                <w:rFonts w:ascii="Calibri" w:hAnsi="Calibri"/>
                <w:sz w:val="20"/>
                <w:szCs w:val="20"/>
              </w:rPr>
            </w:pPr>
            <w:r w:rsidRPr="00914272">
              <w:rPr>
                <w:rFonts w:ascii="Calibri" w:hAnsi="Calibri"/>
                <w:sz w:val="20"/>
                <w:szCs w:val="20"/>
              </w:rPr>
              <w:t>0,01%</w:t>
            </w:r>
          </w:p>
        </w:tc>
      </w:tr>
      <w:tr w:rsidR="00914272" w:rsidRPr="00914272" w14:paraId="00B0E1E2"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C2FC40C"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666</w:t>
            </w:r>
          </w:p>
        </w:tc>
        <w:tc>
          <w:tcPr>
            <w:tcW w:w="4805" w:type="dxa"/>
            <w:tcBorders>
              <w:top w:val="nil"/>
              <w:left w:val="nil"/>
              <w:bottom w:val="single" w:sz="4" w:space="0" w:color="auto"/>
              <w:right w:val="single" w:sz="4" w:space="0" w:color="auto"/>
            </w:tcBorders>
            <w:shd w:val="clear" w:color="auto" w:fill="auto"/>
            <w:vAlign w:val="center"/>
            <w:hideMark/>
          </w:tcPr>
          <w:p w14:paraId="1F80C6B8"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Остали трошкови</w:t>
            </w:r>
          </w:p>
        </w:tc>
        <w:tc>
          <w:tcPr>
            <w:tcW w:w="1560" w:type="dxa"/>
            <w:tcBorders>
              <w:top w:val="nil"/>
              <w:left w:val="nil"/>
              <w:bottom w:val="single" w:sz="4" w:space="0" w:color="auto"/>
              <w:right w:val="single" w:sz="4" w:space="0" w:color="auto"/>
            </w:tcBorders>
            <w:shd w:val="clear" w:color="auto" w:fill="auto"/>
            <w:noWrap/>
            <w:vAlign w:val="center"/>
            <w:hideMark/>
          </w:tcPr>
          <w:p w14:paraId="2A5449D3" w14:textId="77777777" w:rsidR="00914272" w:rsidRPr="00914272" w:rsidRDefault="00914272" w:rsidP="00914272">
            <w:pPr>
              <w:jc w:val="right"/>
              <w:rPr>
                <w:rFonts w:ascii="Calibri" w:hAnsi="Calibri"/>
                <w:sz w:val="20"/>
                <w:szCs w:val="20"/>
              </w:rPr>
            </w:pPr>
            <w:r w:rsidRPr="00914272">
              <w:rPr>
                <w:rFonts w:ascii="Calibri" w:hAnsi="Calibri"/>
                <w:sz w:val="20"/>
                <w:szCs w:val="20"/>
                <w:lang w:val="sr-Cyrl-BA"/>
              </w:rPr>
              <w:t>132.121,82</w:t>
            </w:r>
          </w:p>
        </w:tc>
        <w:tc>
          <w:tcPr>
            <w:tcW w:w="1559" w:type="dxa"/>
            <w:tcBorders>
              <w:top w:val="nil"/>
              <w:left w:val="nil"/>
              <w:bottom w:val="single" w:sz="4" w:space="0" w:color="auto"/>
              <w:right w:val="single" w:sz="4" w:space="0" w:color="auto"/>
            </w:tcBorders>
            <w:shd w:val="clear" w:color="auto" w:fill="auto"/>
            <w:noWrap/>
            <w:vAlign w:val="center"/>
            <w:hideMark/>
          </w:tcPr>
          <w:p w14:paraId="7EA0FA57" w14:textId="77777777" w:rsidR="00914272" w:rsidRPr="00914272" w:rsidRDefault="00914272" w:rsidP="00914272">
            <w:pPr>
              <w:jc w:val="center"/>
              <w:rPr>
                <w:rFonts w:ascii="Calibri" w:hAnsi="Calibri"/>
                <w:sz w:val="20"/>
                <w:szCs w:val="20"/>
              </w:rPr>
            </w:pPr>
            <w:r w:rsidRPr="00914272">
              <w:rPr>
                <w:rFonts w:ascii="Calibri" w:hAnsi="Calibri"/>
                <w:sz w:val="20"/>
                <w:szCs w:val="20"/>
              </w:rPr>
              <w:t>4,31%</w:t>
            </w:r>
          </w:p>
        </w:tc>
      </w:tr>
      <w:tr w:rsidR="00135F4E" w:rsidRPr="00914272" w14:paraId="465D3F2F" w14:textId="77777777" w:rsidTr="00135F4E">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4E5720B6" w14:textId="77777777" w:rsidR="00135F4E" w:rsidRPr="00914272" w:rsidRDefault="00135F4E" w:rsidP="00A642CC">
            <w:pPr>
              <w:jc w:val="center"/>
              <w:rPr>
                <w:rFonts w:ascii="Calibri" w:hAnsi="Calibri"/>
                <w:b/>
                <w:bCs/>
                <w:sz w:val="20"/>
                <w:szCs w:val="20"/>
              </w:rPr>
            </w:pPr>
            <w:r w:rsidRPr="00914272">
              <w:rPr>
                <w:rFonts w:ascii="Calibri" w:hAnsi="Calibri"/>
                <w:b/>
                <w:bCs/>
                <w:sz w:val="20"/>
                <w:szCs w:val="20"/>
                <w:lang w:val="sr-Latn-RS"/>
              </w:rPr>
              <w:t>Конто</w:t>
            </w:r>
          </w:p>
        </w:tc>
        <w:tc>
          <w:tcPr>
            <w:tcW w:w="4805" w:type="dxa"/>
            <w:tcBorders>
              <w:top w:val="single" w:sz="8" w:space="0" w:color="auto"/>
              <w:left w:val="nil"/>
              <w:bottom w:val="nil"/>
              <w:right w:val="single" w:sz="8" w:space="0" w:color="auto"/>
            </w:tcBorders>
            <w:shd w:val="clear" w:color="000000" w:fill="8DB4E2"/>
            <w:vAlign w:val="center"/>
            <w:hideMark/>
          </w:tcPr>
          <w:p w14:paraId="7F8EB889" w14:textId="77777777" w:rsidR="00135F4E" w:rsidRPr="00914272" w:rsidRDefault="00135F4E" w:rsidP="00A642CC">
            <w:pPr>
              <w:jc w:val="center"/>
              <w:rPr>
                <w:rFonts w:ascii="Calibri" w:hAnsi="Calibri"/>
                <w:b/>
                <w:bCs/>
                <w:sz w:val="20"/>
                <w:szCs w:val="20"/>
              </w:rPr>
            </w:pPr>
            <w:r w:rsidRPr="00914272">
              <w:rPr>
                <w:rFonts w:ascii="Calibri" w:hAnsi="Calibri"/>
                <w:b/>
                <w:bCs/>
                <w:sz w:val="20"/>
                <w:szCs w:val="20"/>
                <w:lang w:val="sr-Latn-RS"/>
              </w:rPr>
              <w:t>Назив</w:t>
            </w:r>
          </w:p>
        </w:tc>
        <w:tc>
          <w:tcPr>
            <w:tcW w:w="1560" w:type="dxa"/>
            <w:tcBorders>
              <w:top w:val="single" w:sz="8" w:space="0" w:color="auto"/>
              <w:left w:val="nil"/>
              <w:bottom w:val="nil"/>
              <w:right w:val="single" w:sz="8" w:space="0" w:color="auto"/>
            </w:tcBorders>
            <w:shd w:val="clear" w:color="000000" w:fill="8DB4E2"/>
            <w:vAlign w:val="center"/>
            <w:hideMark/>
          </w:tcPr>
          <w:p w14:paraId="214A587B" w14:textId="77777777" w:rsidR="00135F4E" w:rsidRPr="00914272" w:rsidRDefault="00135F4E" w:rsidP="00A642CC">
            <w:pPr>
              <w:jc w:val="center"/>
              <w:rPr>
                <w:rFonts w:ascii="Calibri" w:hAnsi="Calibri"/>
                <w:b/>
                <w:bCs/>
                <w:sz w:val="20"/>
                <w:szCs w:val="20"/>
              </w:rPr>
            </w:pPr>
            <w:r w:rsidRPr="00914272">
              <w:rPr>
                <w:rFonts w:ascii="Calibri" w:hAnsi="Calibri"/>
                <w:b/>
                <w:bCs/>
                <w:sz w:val="20"/>
                <w:szCs w:val="20"/>
                <w:lang w:val="sr-Latn-RS"/>
              </w:rPr>
              <w:t>Остварено у 2023. години</w:t>
            </w:r>
          </w:p>
        </w:tc>
        <w:tc>
          <w:tcPr>
            <w:tcW w:w="1559"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3C313223" w14:textId="77777777" w:rsidR="00135F4E" w:rsidRPr="00914272" w:rsidRDefault="00135F4E" w:rsidP="00A642CC">
            <w:pPr>
              <w:jc w:val="center"/>
              <w:rPr>
                <w:rFonts w:ascii="Calibri" w:hAnsi="Calibri"/>
                <w:b/>
                <w:bCs/>
                <w:sz w:val="20"/>
                <w:szCs w:val="20"/>
              </w:rPr>
            </w:pPr>
            <w:r w:rsidRPr="00914272">
              <w:rPr>
                <w:rFonts w:ascii="Calibri" w:hAnsi="Calibri"/>
                <w:b/>
                <w:bCs/>
                <w:sz w:val="20"/>
                <w:szCs w:val="20"/>
              </w:rPr>
              <w:t>Структура</w:t>
            </w:r>
          </w:p>
        </w:tc>
      </w:tr>
      <w:tr w:rsidR="00914272" w:rsidRPr="00914272" w14:paraId="5FCA9137"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CD63B66"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670</w:t>
            </w:r>
          </w:p>
        </w:tc>
        <w:tc>
          <w:tcPr>
            <w:tcW w:w="4805" w:type="dxa"/>
            <w:tcBorders>
              <w:top w:val="nil"/>
              <w:left w:val="nil"/>
              <w:bottom w:val="single" w:sz="4" w:space="0" w:color="auto"/>
              <w:right w:val="single" w:sz="4" w:space="0" w:color="auto"/>
            </w:tcBorders>
            <w:shd w:val="clear" w:color="auto" w:fill="auto"/>
            <w:vAlign w:val="center"/>
            <w:hideMark/>
          </w:tcPr>
          <w:p w14:paraId="61B1768B"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Расход индиректних отписа пласмана</w:t>
            </w:r>
          </w:p>
        </w:tc>
        <w:tc>
          <w:tcPr>
            <w:tcW w:w="1560" w:type="dxa"/>
            <w:tcBorders>
              <w:top w:val="nil"/>
              <w:left w:val="nil"/>
              <w:bottom w:val="single" w:sz="4" w:space="0" w:color="auto"/>
              <w:right w:val="single" w:sz="4" w:space="0" w:color="auto"/>
            </w:tcBorders>
            <w:shd w:val="clear" w:color="auto" w:fill="auto"/>
            <w:noWrap/>
            <w:vAlign w:val="center"/>
            <w:hideMark/>
          </w:tcPr>
          <w:p w14:paraId="701DAA91"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28.472,77</w:t>
            </w:r>
          </w:p>
        </w:tc>
        <w:tc>
          <w:tcPr>
            <w:tcW w:w="1559" w:type="dxa"/>
            <w:tcBorders>
              <w:top w:val="nil"/>
              <w:left w:val="nil"/>
              <w:bottom w:val="single" w:sz="4" w:space="0" w:color="auto"/>
              <w:right w:val="single" w:sz="4" w:space="0" w:color="auto"/>
            </w:tcBorders>
            <w:shd w:val="clear" w:color="auto" w:fill="auto"/>
            <w:noWrap/>
            <w:vAlign w:val="center"/>
            <w:hideMark/>
          </w:tcPr>
          <w:p w14:paraId="3D256CC5" w14:textId="77777777" w:rsidR="00914272" w:rsidRPr="00914272" w:rsidRDefault="00914272" w:rsidP="00914272">
            <w:pPr>
              <w:jc w:val="center"/>
              <w:rPr>
                <w:rFonts w:ascii="Calibri" w:hAnsi="Calibri"/>
                <w:sz w:val="20"/>
                <w:szCs w:val="20"/>
              </w:rPr>
            </w:pPr>
            <w:r w:rsidRPr="00914272">
              <w:rPr>
                <w:rFonts w:ascii="Calibri" w:hAnsi="Calibri"/>
                <w:sz w:val="20"/>
                <w:szCs w:val="20"/>
              </w:rPr>
              <w:t>0,93%</w:t>
            </w:r>
          </w:p>
        </w:tc>
      </w:tr>
      <w:tr w:rsidR="00914272" w:rsidRPr="00914272" w14:paraId="56B112E6" w14:textId="77777777" w:rsidTr="00135F4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931C80A" w14:textId="77777777" w:rsidR="00914272" w:rsidRPr="00914272" w:rsidRDefault="00914272" w:rsidP="00914272">
            <w:pPr>
              <w:jc w:val="center"/>
              <w:rPr>
                <w:rFonts w:ascii="Calibri" w:hAnsi="Calibri"/>
                <w:sz w:val="20"/>
                <w:szCs w:val="20"/>
              </w:rPr>
            </w:pPr>
            <w:r w:rsidRPr="00914272">
              <w:rPr>
                <w:rFonts w:ascii="Calibri" w:hAnsi="Calibri"/>
                <w:sz w:val="20"/>
                <w:szCs w:val="20"/>
                <w:lang w:val="sr-Latn-RS"/>
              </w:rPr>
              <w:t>678</w:t>
            </w:r>
          </w:p>
        </w:tc>
        <w:tc>
          <w:tcPr>
            <w:tcW w:w="4805" w:type="dxa"/>
            <w:tcBorders>
              <w:top w:val="nil"/>
              <w:left w:val="nil"/>
              <w:bottom w:val="single" w:sz="4" w:space="0" w:color="auto"/>
              <w:right w:val="single" w:sz="4" w:space="0" w:color="auto"/>
            </w:tcBorders>
            <w:shd w:val="clear" w:color="auto" w:fill="auto"/>
            <w:vAlign w:val="center"/>
            <w:hideMark/>
          </w:tcPr>
          <w:p w14:paraId="05D41867" w14:textId="77777777" w:rsidR="00914272" w:rsidRPr="00914272" w:rsidRDefault="00914272" w:rsidP="00914272">
            <w:pPr>
              <w:jc w:val="left"/>
              <w:rPr>
                <w:rFonts w:ascii="Calibri" w:hAnsi="Calibri"/>
                <w:sz w:val="20"/>
                <w:szCs w:val="20"/>
              </w:rPr>
            </w:pPr>
            <w:r w:rsidRPr="00914272">
              <w:rPr>
                <w:rFonts w:ascii="Calibri" w:hAnsi="Calibri"/>
                <w:sz w:val="20"/>
                <w:szCs w:val="20"/>
                <w:lang w:val="sr-Latn-RS"/>
              </w:rPr>
              <w:t>Остали расходи</w:t>
            </w:r>
          </w:p>
        </w:tc>
        <w:tc>
          <w:tcPr>
            <w:tcW w:w="1560" w:type="dxa"/>
            <w:tcBorders>
              <w:top w:val="nil"/>
              <w:left w:val="nil"/>
              <w:bottom w:val="single" w:sz="4" w:space="0" w:color="auto"/>
              <w:right w:val="single" w:sz="4" w:space="0" w:color="auto"/>
            </w:tcBorders>
            <w:shd w:val="clear" w:color="auto" w:fill="auto"/>
            <w:noWrap/>
            <w:vAlign w:val="center"/>
            <w:hideMark/>
          </w:tcPr>
          <w:p w14:paraId="34B8E922"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lang w:val="sr-Cyrl-BA"/>
              </w:rPr>
              <w:t>420,26</w:t>
            </w:r>
          </w:p>
        </w:tc>
        <w:tc>
          <w:tcPr>
            <w:tcW w:w="1559" w:type="dxa"/>
            <w:tcBorders>
              <w:top w:val="nil"/>
              <w:left w:val="nil"/>
              <w:bottom w:val="single" w:sz="4" w:space="0" w:color="auto"/>
              <w:right w:val="single" w:sz="4" w:space="0" w:color="auto"/>
            </w:tcBorders>
            <w:shd w:val="clear" w:color="auto" w:fill="auto"/>
            <w:noWrap/>
            <w:vAlign w:val="center"/>
            <w:hideMark/>
          </w:tcPr>
          <w:p w14:paraId="34D47C4B" w14:textId="77777777" w:rsidR="00914272" w:rsidRPr="00914272" w:rsidRDefault="00914272" w:rsidP="00914272">
            <w:pPr>
              <w:jc w:val="center"/>
              <w:rPr>
                <w:rFonts w:ascii="Calibri" w:hAnsi="Calibri"/>
                <w:sz w:val="20"/>
                <w:szCs w:val="20"/>
              </w:rPr>
            </w:pPr>
            <w:r w:rsidRPr="00914272">
              <w:rPr>
                <w:rFonts w:ascii="Calibri" w:hAnsi="Calibri"/>
                <w:sz w:val="20"/>
                <w:szCs w:val="20"/>
              </w:rPr>
              <w:t>0,01%</w:t>
            </w:r>
          </w:p>
        </w:tc>
      </w:tr>
      <w:tr w:rsidR="00914272" w:rsidRPr="00914272" w14:paraId="121A15F5" w14:textId="77777777" w:rsidTr="00135F4E">
        <w:trPr>
          <w:trHeight w:val="315"/>
        </w:trPr>
        <w:tc>
          <w:tcPr>
            <w:tcW w:w="5685"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622EF099"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lang w:val="sr-Latn-RS"/>
              </w:rPr>
              <w:t>Укупно трошкови</w:t>
            </w:r>
          </w:p>
        </w:tc>
        <w:tc>
          <w:tcPr>
            <w:tcW w:w="1560" w:type="dxa"/>
            <w:tcBorders>
              <w:top w:val="nil"/>
              <w:left w:val="nil"/>
              <w:bottom w:val="single" w:sz="4" w:space="0" w:color="auto"/>
              <w:right w:val="single" w:sz="4" w:space="0" w:color="auto"/>
            </w:tcBorders>
            <w:shd w:val="clear" w:color="000000" w:fill="8DB4E2"/>
            <w:noWrap/>
            <w:vAlign w:val="center"/>
            <w:hideMark/>
          </w:tcPr>
          <w:p w14:paraId="3DD0FEC4" w14:textId="77777777" w:rsidR="00914272" w:rsidRPr="00914272" w:rsidRDefault="00914272" w:rsidP="00914272">
            <w:pPr>
              <w:jc w:val="right"/>
              <w:rPr>
                <w:rFonts w:ascii="Calibri" w:hAnsi="Calibri"/>
                <w:b/>
                <w:bCs/>
                <w:color w:val="auto"/>
                <w:sz w:val="20"/>
                <w:szCs w:val="20"/>
              </w:rPr>
            </w:pPr>
            <w:r w:rsidRPr="00914272">
              <w:rPr>
                <w:rFonts w:ascii="Calibri" w:hAnsi="Calibri"/>
                <w:b/>
                <w:bCs/>
                <w:color w:val="auto"/>
                <w:sz w:val="20"/>
                <w:szCs w:val="20"/>
                <w:lang w:val="sr-Cyrl-BA"/>
              </w:rPr>
              <w:t>1.965.356,65</w:t>
            </w:r>
          </w:p>
        </w:tc>
        <w:tc>
          <w:tcPr>
            <w:tcW w:w="1559" w:type="dxa"/>
            <w:tcBorders>
              <w:top w:val="nil"/>
              <w:left w:val="nil"/>
              <w:bottom w:val="single" w:sz="4" w:space="0" w:color="auto"/>
              <w:right w:val="single" w:sz="4" w:space="0" w:color="auto"/>
            </w:tcBorders>
            <w:shd w:val="clear" w:color="000000" w:fill="8DB4E2"/>
            <w:noWrap/>
            <w:vAlign w:val="center"/>
            <w:hideMark/>
          </w:tcPr>
          <w:p w14:paraId="15CA6F3C"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64,18%</w:t>
            </w:r>
          </w:p>
        </w:tc>
      </w:tr>
      <w:tr w:rsidR="00914272" w:rsidRPr="00914272" w14:paraId="375080EE" w14:textId="77777777" w:rsidTr="00135F4E">
        <w:trPr>
          <w:trHeight w:val="315"/>
        </w:trPr>
        <w:tc>
          <w:tcPr>
            <w:tcW w:w="5685"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0DC92496"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lang w:val="sr-Latn-RS"/>
              </w:rPr>
              <w:t>УКУПНО РАСХОДИ</w:t>
            </w:r>
          </w:p>
        </w:tc>
        <w:tc>
          <w:tcPr>
            <w:tcW w:w="1560" w:type="dxa"/>
            <w:tcBorders>
              <w:top w:val="nil"/>
              <w:left w:val="nil"/>
              <w:bottom w:val="single" w:sz="4" w:space="0" w:color="auto"/>
              <w:right w:val="single" w:sz="4" w:space="0" w:color="auto"/>
            </w:tcBorders>
            <w:shd w:val="clear" w:color="000000" w:fill="8DB4E2"/>
            <w:noWrap/>
            <w:vAlign w:val="center"/>
            <w:hideMark/>
          </w:tcPr>
          <w:p w14:paraId="788D3407" w14:textId="77777777" w:rsidR="00914272" w:rsidRPr="00914272" w:rsidRDefault="00914272" w:rsidP="00914272">
            <w:pPr>
              <w:jc w:val="right"/>
              <w:rPr>
                <w:rFonts w:ascii="Calibri" w:hAnsi="Calibri"/>
                <w:b/>
                <w:bCs/>
                <w:color w:val="auto"/>
                <w:sz w:val="20"/>
                <w:szCs w:val="20"/>
              </w:rPr>
            </w:pPr>
            <w:r w:rsidRPr="00914272">
              <w:rPr>
                <w:rFonts w:ascii="Calibri" w:hAnsi="Calibri"/>
                <w:b/>
                <w:bCs/>
                <w:color w:val="auto"/>
                <w:sz w:val="20"/>
                <w:szCs w:val="20"/>
                <w:lang w:val="sr-Cyrl-BA"/>
              </w:rPr>
              <w:t>3.062.064,17</w:t>
            </w:r>
          </w:p>
        </w:tc>
        <w:tc>
          <w:tcPr>
            <w:tcW w:w="1559" w:type="dxa"/>
            <w:tcBorders>
              <w:top w:val="nil"/>
              <w:left w:val="nil"/>
              <w:bottom w:val="single" w:sz="4" w:space="0" w:color="auto"/>
              <w:right w:val="single" w:sz="4" w:space="0" w:color="auto"/>
            </w:tcBorders>
            <w:shd w:val="clear" w:color="000000" w:fill="8DB4E2"/>
            <w:noWrap/>
            <w:vAlign w:val="center"/>
            <w:hideMark/>
          </w:tcPr>
          <w:p w14:paraId="5C11F0D2"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100,00%</w:t>
            </w:r>
          </w:p>
        </w:tc>
      </w:tr>
    </w:tbl>
    <w:p w14:paraId="266EFFBB" w14:textId="77777777" w:rsidR="00E84021" w:rsidRDefault="00914272" w:rsidP="001538EF">
      <w:pPr>
        <w:rPr>
          <w:rFonts w:asciiTheme="minorHAnsi" w:hAnsiTheme="minorHAnsi"/>
          <w:sz w:val="20"/>
          <w:szCs w:val="20"/>
          <w:lang w:val="sr-Cyrl-CS" w:eastAsia="sr-Cyrl-CS"/>
        </w:rPr>
      </w:pPr>
      <w:r>
        <w:rPr>
          <w:rFonts w:asciiTheme="minorHAnsi" w:hAnsiTheme="minorHAnsi"/>
          <w:sz w:val="20"/>
          <w:szCs w:val="20"/>
          <w:lang w:val="sr-Cyrl-CS" w:eastAsia="sr-Cyrl-CS"/>
        </w:rPr>
        <w:t>Трошкови зарада имају највеће учешће у оствареним расходима током 2023. године, а оно износи 25,86%. На другом мјесту се налазе расходи резервисања по ванбилансној активи са учешћем од 24,57%. Ове двије групе трошкова чине 50,43% или нешто више од половине свих остварених расхода у 2023. годи</w:t>
      </w:r>
      <w:r w:rsidR="00B54DD1">
        <w:rPr>
          <w:rFonts w:asciiTheme="minorHAnsi" w:hAnsiTheme="minorHAnsi"/>
          <w:sz w:val="20"/>
          <w:szCs w:val="20"/>
          <w:lang w:val="sr-Cyrl-CS" w:eastAsia="sr-Cyrl-CS"/>
        </w:rPr>
        <w:t xml:space="preserve">ни. На трећем мјесту се налазе </w:t>
      </w:r>
      <w:r>
        <w:rPr>
          <w:rFonts w:asciiTheme="minorHAnsi" w:hAnsiTheme="minorHAnsi"/>
          <w:sz w:val="20"/>
          <w:szCs w:val="20"/>
          <w:lang w:val="sr-Cyrl-CS" w:eastAsia="sr-Cyrl-CS"/>
        </w:rPr>
        <w:t xml:space="preserve">трошкови доприноса на зараде и накнаде зарада са учешћем од 14,22%, а на четвртом мјесту су расходи камата </w:t>
      </w:r>
      <w:r w:rsidR="00B54DD1">
        <w:rPr>
          <w:rFonts w:asciiTheme="minorHAnsi" w:hAnsiTheme="minorHAnsi"/>
          <w:sz w:val="20"/>
          <w:szCs w:val="20"/>
          <w:lang w:val="sr-Cyrl-CS" w:eastAsia="sr-Cyrl-CS"/>
        </w:rPr>
        <w:t>са учешћем од 8,93%.</w:t>
      </w:r>
    </w:p>
    <w:p w14:paraId="0B557789" w14:textId="77777777" w:rsidR="00B84B91" w:rsidRDefault="00B84B91" w:rsidP="001538EF">
      <w:pPr>
        <w:rPr>
          <w:rFonts w:asciiTheme="minorHAnsi" w:hAnsiTheme="minorHAnsi"/>
          <w:sz w:val="20"/>
          <w:szCs w:val="20"/>
          <w:lang w:val="sr-Cyrl-CS" w:eastAsia="sr-Cyrl-CS"/>
        </w:rPr>
      </w:pPr>
    </w:p>
    <w:p w14:paraId="68D78B00" w14:textId="77777777" w:rsidR="00914272" w:rsidRDefault="00914272" w:rsidP="001538EF">
      <w:pPr>
        <w:rPr>
          <w:rFonts w:asciiTheme="minorHAnsi" w:hAnsiTheme="minorHAnsi"/>
          <w:sz w:val="20"/>
          <w:szCs w:val="20"/>
          <w:lang w:val="sr-Cyrl-CS" w:eastAsia="sr-Cyrl-CS"/>
        </w:rPr>
      </w:pPr>
      <w:r>
        <w:rPr>
          <w:rFonts w:asciiTheme="minorHAnsi" w:hAnsiTheme="minorHAnsi"/>
          <w:sz w:val="20"/>
          <w:szCs w:val="20"/>
          <w:lang w:val="sr-Cyrl-CS" w:eastAsia="sr-Cyrl-CS"/>
        </w:rPr>
        <w:t>Сви остал</w:t>
      </w:r>
      <w:r w:rsidR="00B54DD1">
        <w:rPr>
          <w:rFonts w:asciiTheme="minorHAnsi" w:hAnsiTheme="minorHAnsi"/>
          <w:sz w:val="20"/>
          <w:szCs w:val="20"/>
          <w:lang w:val="sr-Cyrl-CS" w:eastAsia="sr-Cyrl-CS"/>
        </w:rPr>
        <w:t xml:space="preserve">и трошкови побројани у табели имају врло мало појединачно учешће у трошковима, а збирно </w:t>
      </w:r>
      <w:r>
        <w:rPr>
          <w:rFonts w:asciiTheme="minorHAnsi" w:hAnsiTheme="minorHAnsi"/>
          <w:sz w:val="20"/>
          <w:szCs w:val="20"/>
          <w:lang w:val="sr-Cyrl-CS" w:eastAsia="sr-Cyrl-CS"/>
        </w:rPr>
        <w:t xml:space="preserve"> чине </w:t>
      </w:r>
      <w:r w:rsidR="00B84B91">
        <w:rPr>
          <w:rFonts w:asciiTheme="minorHAnsi" w:hAnsiTheme="minorHAnsi"/>
          <w:sz w:val="20"/>
          <w:szCs w:val="20"/>
          <w:lang w:val="sr-Cyrl-CS" w:eastAsia="sr-Cyrl-CS"/>
        </w:rPr>
        <w:t xml:space="preserve">тек </w:t>
      </w:r>
      <w:r>
        <w:rPr>
          <w:rFonts w:asciiTheme="minorHAnsi" w:hAnsiTheme="minorHAnsi"/>
          <w:sz w:val="20"/>
          <w:szCs w:val="20"/>
          <w:lang w:val="sr-Cyrl-CS" w:eastAsia="sr-Cyrl-CS"/>
        </w:rPr>
        <w:t>нешто више од једне четвртине укупно оствар</w:t>
      </w:r>
      <w:r w:rsidR="00B54DD1">
        <w:rPr>
          <w:rFonts w:asciiTheme="minorHAnsi" w:hAnsiTheme="minorHAnsi"/>
          <w:sz w:val="20"/>
          <w:szCs w:val="20"/>
          <w:lang w:val="sr-Cyrl-CS" w:eastAsia="sr-Cyrl-CS"/>
        </w:rPr>
        <w:t>ен</w:t>
      </w:r>
      <w:r w:rsidR="00B84B91">
        <w:rPr>
          <w:rFonts w:asciiTheme="minorHAnsi" w:hAnsiTheme="minorHAnsi"/>
          <w:sz w:val="20"/>
          <w:szCs w:val="20"/>
          <w:lang w:val="sr-Cyrl-CS" w:eastAsia="sr-Cyrl-CS"/>
        </w:rPr>
        <w:t>их расхода Гарантног ф</w:t>
      </w:r>
      <w:r>
        <w:rPr>
          <w:rFonts w:asciiTheme="minorHAnsi" w:hAnsiTheme="minorHAnsi"/>
          <w:sz w:val="20"/>
          <w:szCs w:val="20"/>
          <w:lang w:val="sr-Cyrl-CS" w:eastAsia="sr-Cyrl-CS"/>
        </w:rPr>
        <w:t>онда у 2023. години.</w:t>
      </w:r>
    </w:p>
    <w:p w14:paraId="2FFC5CBD" w14:textId="77777777" w:rsidR="00B54DD1" w:rsidRPr="005767EF" w:rsidRDefault="00B54DD1" w:rsidP="001538EF">
      <w:pPr>
        <w:rPr>
          <w:rFonts w:asciiTheme="minorHAnsi" w:hAnsiTheme="minorHAnsi"/>
          <w:sz w:val="20"/>
          <w:szCs w:val="20"/>
          <w:lang w:val="sr-Cyrl-CS" w:eastAsia="sr-Cyrl-CS"/>
        </w:rPr>
      </w:pPr>
    </w:p>
    <w:p w14:paraId="7F7E7B0C" w14:textId="77777777" w:rsidR="001538EF" w:rsidRPr="005767EF" w:rsidRDefault="00E84021" w:rsidP="00EE16CE">
      <w:pPr>
        <w:pStyle w:val="Heading2"/>
        <w:numPr>
          <w:ilvl w:val="0"/>
          <w:numId w:val="0"/>
        </w:numPr>
        <w:rPr>
          <w:rFonts w:asciiTheme="minorHAnsi" w:hAnsiTheme="minorHAnsi"/>
          <w:szCs w:val="20"/>
        </w:rPr>
      </w:pPr>
      <w:bookmarkStart w:id="15" w:name="_Toc135292177"/>
      <w:r>
        <w:rPr>
          <w:rFonts w:asciiTheme="minorHAnsi" w:hAnsiTheme="minorHAnsi"/>
          <w:szCs w:val="20"/>
          <w:lang w:val="sr-Cyrl-BA"/>
        </w:rPr>
        <w:t xml:space="preserve">3.3. </w:t>
      </w:r>
      <w:r w:rsidR="002E7B50">
        <w:rPr>
          <w:rFonts w:asciiTheme="minorHAnsi" w:hAnsiTheme="minorHAnsi"/>
          <w:szCs w:val="20"/>
          <w:lang w:val="sr-Cyrl-BA"/>
        </w:rPr>
        <w:t>ОСТВАРЕНИ ФИНАНСИЈСКИ РЕЗУЛТАТ</w:t>
      </w:r>
      <w:r w:rsidR="000B04CD" w:rsidRPr="005767EF">
        <w:rPr>
          <w:rFonts w:asciiTheme="minorHAnsi" w:hAnsiTheme="minorHAnsi"/>
          <w:szCs w:val="20"/>
          <w:lang w:val="sr-Cyrl-BA"/>
        </w:rPr>
        <w:t xml:space="preserve"> </w:t>
      </w:r>
      <w:r w:rsidR="001538EF" w:rsidRPr="005767EF">
        <w:rPr>
          <w:rFonts w:asciiTheme="minorHAnsi" w:hAnsiTheme="minorHAnsi"/>
          <w:szCs w:val="20"/>
          <w:lang w:val="sr-Cyrl-BA"/>
        </w:rPr>
        <w:t xml:space="preserve"> </w:t>
      </w:r>
      <w:r w:rsidR="00EE16CE">
        <w:rPr>
          <w:rFonts w:asciiTheme="minorHAnsi" w:hAnsiTheme="minorHAnsi"/>
          <w:szCs w:val="20"/>
          <w:lang w:val="sr-Cyrl-BA"/>
        </w:rPr>
        <w:t>У</w:t>
      </w:r>
      <w:r w:rsidR="001538EF" w:rsidRPr="005767EF">
        <w:rPr>
          <w:rFonts w:asciiTheme="minorHAnsi" w:hAnsiTheme="minorHAnsi"/>
          <w:szCs w:val="20"/>
          <w:lang w:val="sr-Cyrl-BA"/>
        </w:rPr>
        <w:t xml:space="preserve"> 202</w:t>
      </w:r>
      <w:r w:rsidR="000B04CD" w:rsidRPr="005767EF">
        <w:rPr>
          <w:rFonts w:asciiTheme="minorHAnsi" w:hAnsiTheme="minorHAnsi"/>
          <w:szCs w:val="20"/>
          <w:lang w:val="bs-Latn-BA"/>
        </w:rPr>
        <w:t>3</w:t>
      </w:r>
      <w:r w:rsidR="001538EF" w:rsidRPr="005767EF">
        <w:rPr>
          <w:rFonts w:asciiTheme="minorHAnsi" w:hAnsiTheme="minorHAnsi"/>
          <w:szCs w:val="20"/>
          <w:lang w:val="sr-Cyrl-BA"/>
        </w:rPr>
        <w:t>. ГОДИН</w:t>
      </w:r>
      <w:bookmarkEnd w:id="15"/>
      <w:r w:rsidR="00EE16CE">
        <w:rPr>
          <w:rFonts w:asciiTheme="minorHAnsi" w:hAnsiTheme="minorHAnsi"/>
          <w:szCs w:val="20"/>
          <w:lang w:val="sr-Cyrl-BA"/>
        </w:rPr>
        <w:t>И</w:t>
      </w:r>
    </w:p>
    <w:p w14:paraId="32438B00" w14:textId="77777777" w:rsidR="001538EF" w:rsidRPr="005767EF" w:rsidRDefault="001538EF" w:rsidP="001538EF">
      <w:pPr>
        <w:pStyle w:val="Heading2"/>
        <w:numPr>
          <w:ilvl w:val="0"/>
          <w:numId w:val="0"/>
        </w:numPr>
        <w:rPr>
          <w:rFonts w:asciiTheme="minorHAnsi" w:hAnsiTheme="minorHAnsi"/>
          <w:szCs w:val="20"/>
        </w:rPr>
      </w:pPr>
    </w:p>
    <w:p w14:paraId="64383A6B" w14:textId="77777777" w:rsidR="001538EF" w:rsidRPr="00EE16CE" w:rsidRDefault="001538EF" w:rsidP="001538EF">
      <w:pPr>
        <w:jc w:val="center"/>
        <w:rPr>
          <w:rFonts w:asciiTheme="minorHAnsi" w:hAnsiTheme="minorHAnsi"/>
          <w:b/>
          <w:sz w:val="20"/>
          <w:szCs w:val="20"/>
          <w:lang w:val="sr-Cyrl-RS" w:eastAsia="sr-Cyrl-CS"/>
        </w:rPr>
      </w:pPr>
      <w:r w:rsidRPr="005767EF">
        <w:rPr>
          <w:rFonts w:asciiTheme="minorHAnsi" w:hAnsiTheme="minorHAnsi"/>
          <w:b/>
          <w:sz w:val="20"/>
          <w:szCs w:val="20"/>
          <w:lang w:val="sr-Latn-BA" w:eastAsia="sr-Cyrl-CS"/>
        </w:rPr>
        <w:t xml:space="preserve">Преглед </w:t>
      </w:r>
      <w:r w:rsidR="000B04CD" w:rsidRPr="005767EF">
        <w:rPr>
          <w:rFonts w:asciiTheme="minorHAnsi" w:hAnsiTheme="minorHAnsi"/>
          <w:b/>
          <w:sz w:val="20"/>
          <w:szCs w:val="20"/>
          <w:lang w:val="sr-Cyrl-BA" w:eastAsia="sr-Cyrl-CS"/>
        </w:rPr>
        <w:t>финансијског резултата</w:t>
      </w:r>
      <w:r w:rsidRPr="005767EF">
        <w:rPr>
          <w:rFonts w:asciiTheme="minorHAnsi" w:hAnsiTheme="minorHAnsi"/>
          <w:b/>
          <w:sz w:val="20"/>
          <w:szCs w:val="20"/>
          <w:lang w:val="sr-Latn-BA" w:eastAsia="sr-Cyrl-CS"/>
        </w:rPr>
        <w:t xml:space="preserve"> </w:t>
      </w:r>
      <w:r w:rsidR="00EE16CE">
        <w:rPr>
          <w:rFonts w:asciiTheme="minorHAnsi" w:hAnsiTheme="minorHAnsi"/>
          <w:b/>
          <w:sz w:val="20"/>
          <w:szCs w:val="20"/>
          <w:lang w:val="sr-Cyrl-RS" w:eastAsia="sr-Cyrl-CS"/>
        </w:rPr>
        <w:t>у</w:t>
      </w:r>
      <w:r w:rsidRPr="005767EF">
        <w:rPr>
          <w:rFonts w:asciiTheme="minorHAnsi" w:hAnsiTheme="minorHAnsi"/>
          <w:b/>
          <w:sz w:val="20"/>
          <w:szCs w:val="20"/>
          <w:lang w:val="sr-Latn-BA" w:eastAsia="sr-Cyrl-CS"/>
        </w:rPr>
        <w:t xml:space="preserve"> 202</w:t>
      </w:r>
      <w:r w:rsidR="00D834EE" w:rsidRPr="005767EF">
        <w:rPr>
          <w:rFonts w:asciiTheme="minorHAnsi" w:hAnsiTheme="minorHAnsi"/>
          <w:b/>
          <w:sz w:val="20"/>
          <w:szCs w:val="20"/>
          <w:lang w:val="sr-Cyrl-BA" w:eastAsia="sr-Cyrl-CS"/>
        </w:rPr>
        <w:t>3</w:t>
      </w:r>
      <w:r w:rsidRPr="005767EF">
        <w:rPr>
          <w:rFonts w:asciiTheme="minorHAnsi" w:hAnsiTheme="minorHAnsi"/>
          <w:b/>
          <w:sz w:val="20"/>
          <w:szCs w:val="20"/>
          <w:lang w:val="sr-Latn-BA" w:eastAsia="sr-Cyrl-CS"/>
        </w:rPr>
        <w:t>. годин</w:t>
      </w:r>
      <w:r w:rsidR="00EE16CE">
        <w:rPr>
          <w:rFonts w:asciiTheme="minorHAnsi" w:hAnsiTheme="minorHAnsi"/>
          <w:b/>
          <w:sz w:val="20"/>
          <w:szCs w:val="20"/>
          <w:lang w:val="sr-Cyrl-RS" w:eastAsia="sr-Cyrl-CS"/>
        </w:rPr>
        <w:t>и</w:t>
      </w:r>
    </w:p>
    <w:p w14:paraId="5C25F648" w14:textId="77777777" w:rsidR="001538EF" w:rsidRPr="005767EF" w:rsidRDefault="001538EF" w:rsidP="001538EF">
      <w:pPr>
        <w:rPr>
          <w:rFonts w:asciiTheme="minorHAnsi" w:hAnsiTheme="minorHAnsi"/>
          <w:sz w:val="20"/>
          <w:szCs w:val="20"/>
          <w:lang w:val="sr-Cyrl-CS" w:eastAsia="sr-Cyrl-CS"/>
        </w:rPr>
      </w:pPr>
    </w:p>
    <w:p w14:paraId="37661913" w14:textId="77777777"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t xml:space="preserve">      </w:t>
      </w:r>
      <w:r w:rsidRPr="005767EF">
        <w:rPr>
          <w:rFonts w:asciiTheme="minorHAnsi" w:eastAsia="Calibri" w:hAnsiTheme="minorHAnsi"/>
          <w:b/>
          <w:color w:val="auto"/>
          <w:sz w:val="20"/>
          <w:szCs w:val="20"/>
          <w:lang w:val="en-GB" w:eastAsia="en-US"/>
        </w:rPr>
        <w:t xml:space="preserve"> </w:t>
      </w:r>
      <w:r w:rsidR="009346DA">
        <w:rPr>
          <w:rFonts w:asciiTheme="minorHAnsi" w:eastAsia="Calibri" w:hAnsiTheme="minorHAnsi"/>
          <w:b/>
          <w:color w:val="auto"/>
          <w:sz w:val="20"/>
          <w:szCs w:val="20"/>
          <w:lang w:val="sr-Cyrl-RS" w:eastAsia="en-US"/>
        </w:rPr>
        <w:t xml:space="preserve">       </w:t>
      </w:r>
      <w:r w:rsidRPr="005767EF">
        <w:rPr>
          <w:rFonts w:asciiTheme="minorHAnsi" w:eastAsia="Calibri" w:hAnsiTheme="minorHAnsi"/>
          <w:b/>
          <w:color w:val="auto"/>
          <w:sz w:val="20"/>
          <w:szCs w:val="20"/>
          <w:lang w:val="en-GB" w:eastAsia="en-US"/>
        </w:rPr>
        <w:t xml:space="preserve"> </w:t>
      </w:r>
      <w:r w:rsidR="009346DA">
        <w:rPr>
          <w:rFonts w:asciiTheme="minorHAnsi" w:eastAsia="Calibri" w:hAnsiTheme="minorHAnsi"/>
          <w:b/>
          <w:color w:val="auto"/>
          <w:sz w:val="20"/>
          <w:szCs w:val="20"/>
          <w:lang w:val="sr-Cyrl-BA" w:eastAsia="en-US"/>
        </w:rPr>
        <w:t>Табела 2</w:t>
      </w:r>
      <w:r w:rsidR="00B54DD1">
        <w:rPr>
          <w:rFonts w:asciiTheme="minorHAnsi" w:eastAsia="Calibri" w:hAnsiTheme="minorHAnsi"/>
          <w:b/>
          <w:color w:val="auto"/>
          <w:sz w:val="20"/>
          <w:szCs w:val="20"/>
          <w:lang w:val="sr-Cyrl-BA" w:eastAsia="en-US"/>
        </w:rPr>
        <w:t>5</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3"/>
        <w:gridCol w:w="1560"/>
        <w:gridCol w:w="1559"/>
        <w:gridCol w:w="1286"/>
      </w:tblGrid>
      <w:tr w:rsidR="001538EF" w:rsidRPr="005767EF" w14:paraId="48DA99B8" w14:textId="77777777" w:rsidTr="00B54DD1">
        <w:trPr>
          <w:trHeight w:val="558"/>
          <w:jc w:val="center"/>
        </w:trPr>
        <w:tc>
          <w:tcPr>
            <w:tcW w:w="4093" w:type="dxa"/>
            <w:shd w:val="clear" w:color="auto" w:fill="8DB3E2" w:themeFill="text2" w:themeFillTint="66"/>
            <w:noWrap/>
            <w:vAlign w:val="center"/>
            <w:hideMark/>
          </w:tcPr>
          <w:p w14:paraId="62DCBD79" w14:textId="77777777" w:rsidR="001538EF" w:rsidRPr="005767EF" w:rsidRDefault="001538EF" w:rsidP="001538EF">
            <w:pPr>
              <w:jc w:val="center"/>
              <w:rPr>
                <w:rFonts w:asciiTheme="minorHAnsi" w:hAnsiTheme="minorHAnsi"/>
                <w:b/>
                <w:bCs/>
                <w:sz w:val="20"/>
                <w:szCs w:val="20"/>
                <w:lang w:val="en-US" w:eastAsia="en-US"/>
              </w:rPr>
            </w:pPr>
            <w:r w:rsidRPr="005767EF">
              <w:rPr>
                <w:rFonts w:asciiTheme="minorHAnsi" w:hAnsiTheme="minorHAnsi"/>
                <w:b/>
                <w:bCs/>
                <w:sz w:val="20"/>
                <w:szCs w:val="20"/>
                <w:lang w:val="en-US" w:eastAsia="en-US"/>
              </w:rPr>
              <w:t>Опис</w:t>
            </w:r>
          </w:p>
        </w:tc>
        <w:tc>
          <w:tcPr>
            <w:tcW w:w="1560" w:type="dxa"/>
            <w:shd w:val="clear" w:color="auto" w:fill="8DB3E2" w:themeFill="text2" w:themeFillTint="66"/>
            <w:vAlign w:val="center"/>
          </w:tcPr>
          <w:p w14:paraId="495DC76A" w14:textId="77777777" w:rsidR="001538EF" w:rsidRPr="005767EF" w:rsidRDefault="001538EF" w:rsidP="00D834EE">
            <w:pPr>
              <w:jc w:val="center"/>
              <w:rPr>
                <w:rFonts w:asciiTheme="minorHAnsi" w:hAnsiTheme="minorHAnsi"/>
                <w:b/>
                <w:bCs/>
                <w:sz w:val="20"/>
                <w:szCs w:val="20"/>
                <w:lang w:val="sr-Cyrl-BA" w:eastAsia="en-US"/>
              </w:rPr>
            </w:pPr>
            <w:r w:rsidRPr="005767EF">
              <w:rPr>
                <w:rFonts w:asciiTheme="minorHAnsi" w:hAnsiTheme="minorHAnsi"/>
                <w:b/>
                <w:bCs/>
                <w:sz w:val="20"/>
                <w:szCs w:val="20"/>
                <w:lang w:val="sr-Cyrl-BA" w:eastAsia="en-US"/>
              </w:rPr>
              <w:t>Планирано 202</w:t>
            </w:r>
            <w:r w:rsidR="00D834EE" w:rsidRPr="005767EF">
              <w:rPr>
                <w:rFonts w:asciiTheme="minorHAnsi" w:hAnsiTheme="minorHAnsi"/>
                <w:b/>
                <w:bCs/>
                <w:sz w:val="20"/>
                <w:szCs w:val="20"/>
                <w:lang w:val="sr-Cyrl-BA" w:eastAsia="en-US"/>
              </w:rPr>
              <w:t>3</w:t>
            </w:r>
            <w:r w:rsidRPr="005767EF">
              <w:rPr>
                <w:rFonts w:asciiTheme="minorHAnsi" w:hAnsiTheme="minorHAnsi"/>
                <w:b/>
                <w:bCs/>
                <w:sz w:val="20"/>
                <w:szCs w:val="20"/>
                <w:lang w:val="sr-Cyrl-BA" w:eastAsia="en-US"/>
              </w:rPr>
              <w:t>. године</w:t>
            </w:r>
          </w:p>
        </w:tc>
        <w:tc>
          <w:tcPr>
            <w:tcW w:w="1559" w:type="dxa"/>
            <w:shd w:val="clear" w:color="auto" w:fill="8DB3E2" w:themeFill="text2" w:themeFillTint="66"/>
            <w:noWrap/>
            <w:vAlign w:val="center"/>
            <w:hideMark/>
          </w:tcPr>
          <w:p w14:paraId="2DB7FC09" w14:textId="77777777" w:rsidR="001538EF" w:rsidRPr="005767EF" w:rsidRDefault="001538EF" w:rsidP="001538EF">
            <w:pPr>
              <w:jc w:val="center"/>
              <w:rPr>
                <w:rFonts w:asciiTheme="minorHAnsi" w:hAnsiTheme="minorHAnsi"/>
                <w:b/>
                <w:bCs/>
                <w:sz w:val="20"/>
                <w:szCs w:val="20"/>
                <w:lang w:val="sr-Cyrl-BA" w:eastAsia="en-US"/>
              </w:rPr>
            </w:pPr>
            <w:r w:rsidRPr="005767EF">
              <w:rPr>
                <w:rFonts w:asciiTheme="minorHAnsi" w:hAnsiTheme="minorHAnsi"/>
                <w:b/>
                <w:bCs/>
                <w:sz w:val="20"/>
                <w:szCs w:val="20"/>
                <w:lang w:val="sr-Cyrl-BA" w:eastAsia="en-US"/>
              </w:rPr>
              <w:t xml:space="preserve">Остварено </w:t>
            </w:r>
          </w:p>
          <w:p w14:paraId="064CA689" w14:textId="77777777" w:rsidR="001538EF" w:rsidRPr="005767EF" w:rsidRDefault="001538EF" w:rsidP="00D834EE">
            <w:pPr>
              <w:jc w:val="center"/>
              <w:rPr>
                <w:rFonts w:asciiTheme="minorHAnsi" w:hAnsiTheme="minorHAnsi"/>
                <w:b/>
                <w:bCs/>
                <w:sz w:val="20"/>
                <w:szCs w:val="20"/>
                <w:lang w:val="sr-Cyrl-BA" w:eastAsia="en-US"/>
              </w:rPr>
            </w:pPr>
            <w:r w:rsidRPr="005767EF">
              <w:rPr>
                <w:rFonts w:asciiTheme="minorHAnsi" w:hAnsiTheme="minorHAnsi"/>
                <w:b/>
                <w:bCs/>
                <w:sz w:val="20"/>
                <w:szCs w:val="20"/>
                <w:lang w:val="sr-Cyrl-BA" w:eastAsia="en-US"/>
              </w:rPr>
              <w:t>202</w:t>
            </w:r>
            <w:r w:rsidR="00D834EE" w:rsidRPr="005767EF">
              <w:rPr>
                <w:rFonts w:asciiTheme="minorHAnsi" w:hAnsiTheme="minorHAnsi"/>
                <w:b/>
                <w:bCs/>
                <w:sz w:val="20"/>
                <w:szCs w:val="20"/>
                <w:lang w:val="sr-Cyrl-BA" w:eastAsia="en-US"/>
              </w:rPr>
              <w:t>3</w:t>
            </w:r>
            <w:r w:rsidRPr="005767EF">
              <w:rPr>
                <w:rFonts w:asciiTheme="minorHAnsi" w:hAnsiTheme="minorHAnsi"/>
                <w:b/>
                <w:bCs/>
                <w:sz w:val="20"/>
                <w:szCs w:val="20"/>
                <w:lang w:val="sr-Cyrl-BA" w:eastAsia="en-US"/>
              </w:rPr>
              <w:t>. године</w:t>
            </w:r>
          </w:p>
        </w:tc>
        <w:tc>
          <w:tcPr>
            <w:tcW w:w="1286" w:type="dxa"/>
            <w:shd w:val="clear" w:color="auto" w:fill="8DB3E2" w:themeFill="text2" w:themeFillTint="66"/>
            <w:vAlign w:val="center"/>
          </w:tcPr>
          <w:p w14:paraId="459D9143" w14:textId="77777777" w:rsidR="001538EF" w:rsidRPr="005767EF" w:rsidRDefault="001538EF" w:rsidP="00B54DD1">
            <w:pPr>
              <w:jc w:val="center"/>
              <w:rPr>
                <w:rFonts w:asciiTheme="minorHAnsi" w:hAnsiTheme="minorHAnsi"/>
                <w:b/>
                <w:bCs/>
                <w:sz w:val="20"/>
                <w:szCs w:val="20"/>
                <w:lang w:val="sr-Cyrl-BA" w:eastAsia="en-US"/>
              </w:rPr>
            </w:pPr>
            <w:r w:rsidRPr="005767EF">
              <w:rPr>
                <w:rFonts w:asciiTheme="minorHAnsi" w:hAnsiTheme="minorHAnsi"/>
                <w:b/>
                <w:bCs/>
                <w:sz w:val="20"/>
                <w:szCs w:val="20"/>
                <w:lang w:val="sr-Cyrl-BA" w:eastAsia="en-US"/>
              </w:rPr>
              <w:t>Индекс</w:t>
            </w:r>
          </w:p>
        </w:tc>
      </w:tr>
      <w:tr w:rsidR="00D834EE" w:rsidRPr="005767EF" w14:paraId="6B1FEFEC" w14:textId="77777777" w:rsidTr="009346DA">
        <w:trPr>
          <w:trHeight w:val="300"/>
          <w:jc w:val="center"/>
        </w:trPr>
        <w:tc>
          <w:tcPr>
            <w:tcW w:w="4093" w:type="dxa"/>
            <w:shd w:val="clear" w:color="000000" w:fill="FFFFFF"/>
            <w:noWrap/>
            <w:vAlign w:val="center"/>
            <w:hideMark/>
          </w:tcPr>
          <w:p w14:paraId="054814A5" w14:textId="77777777" w:rsidR="00D834EE" w:rsidRPr="005767EF" w:rsidRDefault="00D834EE" w:rsidP="001538EF">
            <w:pPr>
              <w:jc w:val="left"/>
              <w:rPr>
                <w:rFonts w:asciiTheme="minorHAnsi" w:hAnsiTheme="minorHAnsi"/>
                <w:b/>
                <w:bCs/>
                <w:iCs/>
                <w:sz w:val="20"/>
                <w:szCs w:val="20"/>
                <w:lang w:val="en-US" w:eastAsia="en-US"/>
              </w:rPr>
            </w:pPr>
            <w:r w:rsidRPr="005767EF">
              <w:rPr>
                <w:rFonts w:asciiTheme="minorHAnsi" w:hAnsiTheme="minorHAnsi"/>
                <w:b/>
                <w:bCs/>
                <w:iCs/>
                <w:sz w:val="20"/>
                <w:szCs w:val="20"/>
                <w:lang w:val="en-US" w:eastAsia="en-US"/>
              </w:rPr>
              <w:t>Укупни приходи</w:t>
            </w:r>
          </w:p>
        </w:tc>
        <w:tc>
          <w:tcPr>
            <w:tcW w:w="1560" w:type="dxa"/>
            <w:shd w:val="clear" w:color="000000" w:fill="FFFFFF"/>
            <w:vAlign w:val="center"/>
          </w:tcPr>
          <w:p w14:paraId="394CA787" w14:textId="77777777" w:rsidR="00D834EE" w:rsidRPr="005767EF" w:rsidRDefault="00D834EE" w:rsidP="00D834EE">
            <w:pPr>
              <w:jc w:val="right"/>
              <w:rPr>
                <w:rFonts w:asciiTheme="minorHAnsi" w:hAnsiTheme="minorHAnsi"/>
                <w:b/>
                <w:sz w:val="20"/>
                <w:szCs w:val="20"/>
                <w:lang w:val="sr-Cyrl-BA"/>
              </w:rPr>
            </w:pPr>
            <w:r w:rsidRPr="005767EF">
              <w:rPr>
                <w:rFonts w:asciiTheme="minorHAnsi" w:hAnsiTheme="minorHAnsi"/>
                <w:b/>
                <w:sz w:val="20"/>
                <w:szCs w:val="20"/>
                <w:lang w:val="sr-Cyrl-BA"/>
              </w:rPr>
              <w:t>2.213.000,00</w:t>
            </w:r>
          </w:p>
        </w:tc>
        <w:tc>
          <w:tcPr>
            <w:tcW w:w="1559" w:type="dxa"/>
            <w:shd w:val="clear" w:color="000000" w:fill="FFFFFF"/>
            <w:vAlign w:val="center"/>
          </w:tcPr>
          <w:p w14:paraId="4CC3B89D" w14:textId="77777777" w:rsidR="00D834EE" w:rsidRPr="005767EF" w:rsidRDefault="00D834EE" w:rsidP="00D834EE">
            <w:pPr>
              <w:jc w:val="right"/>
              <w:rPr>
                <w:rFonts w:asciiTheme="minorHAnsi" w:hAnsiTheme="minorHAnsi"/>
                <w:b/>
                <w:sz w:val="20"/>
                <w:szCs w:val="20"/>
                <w:lang w:val="sr-Cyrl-BA"/>
              </w:rPr>
            </w:pPr>
            <w:r w:rsidRPr="005767EF">
              <w:rPr>
                <w:rFonts w:asciiTheme="minorHAnsi" w:hAnsiTheme="minorHAnsi"/>
                <w:b/>
                <w:sz w:val="20"/>
                <w:szCs w:val="20"/>
                <w:lang w:val="sr-Cyrl-BA"/>
              </w:rPr>
              <w:t>1.276.365,06</w:t>
            </w:r>
          </w:p>
        </w:tc>
        <w:tc>
          <w:tcPr>
            <w:tcW w:w="1286" w:type="dxa"/>
            <w:shd w:val="clear" w:color="000000" w:fill="FFFFFF"/>
            <w:vAlign w:val="center"/>
          </w:tcPr>
          <w:p w14:paraId="0B8E3F52" w14:textId="77777777" w:rsidR="00D834EE" w:rsidRPr="005767EF" w:rsidRDefault="00D834EE" w:rsidP="00D834EE">
            <w:pPr>
              <w:jc w:val="right"/>
              <w:rPr>
                <w:rFonts w:asciiTheme="minorHAnsi" w:hAnsiTheme="minorHAnsi"/>
                <w:b/>
                <w:bCs/>
                <w:sz w:val="20"/>
                <w:szCs w:val="20"/>
              </w:rPr>
            </w:pPr>
            <w:r w:rsidRPr="005767EF">
              <w:rPr>
                <w:rFonts w:asciiTheme="minorHAnsi" w:hAnsiTheme="minorHAnsi"/>
                <w:b/>
                <w:bCs/>
                <w:sz w:val="20"/>
                <w:szCs w:val="20"/>
                <w:lang w:val="sr-Cyrl-BA"/>
              </w:rPr>
              <w:t>57,68</w:t>
            </w:r>
          </w:p>
        </w:tc>
      </w:tr>
      <w:tr w:rsidR="00D834EE" w:rsidRPr="005767EF" w14:paraId="4391739B" w14:textId="77777777" w:rsidTr="009346DA">
        <w:trPr>
          <w:trHeight w:val="300"/>
          <w:jc w:val="center"/>
        </w:trPr>
        <w:tc>
          <w:tcPr>
            <w:tcW w:w="4093" w:type="dxa"/>
            <w:shd w:val="clear" w:color="000000" w:fill="FFFFFF"/>
            <w:noWrap/>
            <w:vAlign w:val="center"/>
            <w:hideMark/>
          </w:tcPr>
          <w:p w14:paraId="43442759" w14:textId="77777777" w:rsidR="00D834EE" w:rsidRPr="005767EF" w:rsidRDefault="00D834EE" w:rsidP="001538EF">
            <w:pPr>
              <w:jc w:val="left"/>
              <w:rPr>
                <w:rFonts w:asciiTheme="minorHAnsi" w:hAnsiTheme="minorHAnsi"/>
                <w:sz w:val="20"/>
                <w:szCs w:val="20"/>
                <w:lang w:val="en-US" w:eastAsia="en-US"/>
              </w:rPr>
            </w:pPr>
            <w:r w:rsidRPr="005767EF">
              <w:rPr>
                <w:rFonts w:asciiTheme="minorHAnsi" w:hAnsiTheme="minorHAnsi"/>
                <w:sz w:val="20"/>
                <w:szCs w:val="20"/>
                <w:lang w:val="en-US" w:eastAsia="en-US"/>
              </w:rPr>
              <w:t xml:space="preserve">Приходи из </w:t>
            </w:r>
            <w:r w:rsidR="009346DA">
              <w:rPr>
                <w:rFonts w:asciiTheme="minorHAnsi" w:hAnsiTheme="minorHAnsi"/>
                <w:sz w:val="20"/>
                <w:szCs w:val="20"/>
                <w:lang w:val="sr-Cyrl-RS" w:eastAsia="en-US"/>
              </w:rPr>
              <w:t xml:space="preserve">редовне </w:t>
            </w:r>
            <w:r w:rsidRPr="005767EF">
              <w:rPr>
                <w:rFonts w:asciiTheme="minorHAnsi" w:hAnsiTheme="minorHAnsi"/>
                <w:sz w:val="20"/>
                <w:szCs w:val="20"/>
                <w:lang w:val="en-US" w:eastAsia="en-US"/>
              </w:rPr>
              <w:t>дјелатности</w:t>
            </w:r>
          </w:p>
        </w:tc>
        <w:tc>
          <w:tcPr>
            <w:tcW w:w="1560" w:type="dxa"/>
            <w:shd w:val="clear" w:color="000000" w:fill="FFFFFF"/>
            <w:vAlign w:val="center"/>
          </w:tcPr>
          <w:p w14:paraId="28A6497D"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1.763.000,00</w:t>
            </w:r>
          </w:p>
        </w:tc>
        <w:tc>
          <w:tcPr>
            <w:tcW w:w="1559" w:type="dxa"/>
            <w:shd w:val="clear" w:color="000000" w:fill="FFFFFF"/>
            <w:vAlign w:val="center"/>
          </w:tcPr>
          <w:p w14:paraId="0E5E172E"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1.172.513,52</w:t>
            </w:r>
          </w:p>
        </w:tc>
        <w:tc>
          <w:tcPr>
            <w:tcW w:w="1286" w:type="dxa"/>
            <w:shd w:val="clear" w:color="000000" w:fill="FFFFFF"/>
            <w:vAlign w:val="center"/>
          </w:tcPr>
          <w:p w14:paraId="4AAC0039" w14:textId="77777777" w:rsidR="00D834EE" w:rsidRPr="005767EF" w:rsidRDefault="00D834EE" w:rsidP="00D834EE">
            <w:pPr>
              <w:jc w:val="right"/>
              <w:rPr>
                <w:rFonts w:asciiTheme="minorHAnsi" w:hAnsiTheme="minorHAnsi"/>
                <w:bCs/>
                <w:sz w:val="20"/>
                <w:szCs w:val="20"/>
              </w:rPr>
            </w:pPr>
            <w:r w:rsidRPr="005767EF">
              <w:rPr>
                <w:rFonts w:asciiTheme="minorHAnsi" w:hAnsiTheme="minorHAnsi"/>
                <w:bCs/>
                <w:sz w:val="20"/>
                <w:szCs w:val="20"/>
                <w:lang w:val="sr-Cyrl-BA" w:eastAsia="en-US"/>
              </w:rPr>
              <w:t>66,51</w:t>
            </w:r>
          </w:p>
        </w:tc>
      </w:tr>
      <w:tr w:rsidR="00D834EE" w:rsidRPr="005767EF" w14:paraId="6C3F62CE" w14:textId="77777777" w:rsidTr="009346DA">
        <w:trPr>
          <w:trHeight w:val="300"/>
          <w:jc w:val="center"/>
        </w:trPr>
        <w:tc>
          <w:tcPr>
            <w:tcW w:w="4093" w:type="dxa"/>
            <w:shd w:val="clear" w:color="000000" w:fill="FFFFFF"/>
            <w:noWrap/>
            <w:vAlign w:val="center"/>
            <w:hideMark/>
          </w:tcPr>
          <w:p w14:paraId="3E0CE68A" w14:textId="77777777" w:rsidR="00D834EE" w:rsidRPr="005767EF" w:rsidRDefault="00D834EE" w:rsidP="001538EF">
            <w:pPr>
              <w:jc w:val="left"/>
              <w:rPr>
                <w:rFonts w:asciiTheme="minorHAnsi" w:hAnsiTheme="minorHAnsi"/>
                <w:sz w:val="20"/>
                <w:szCs w:val="20"/>
                <w:lang w:val="sr-Cyrl-BA" w:eastAsia="en-US"/>
              </w:rPr>
            </w:pPr>
            <w:r w:rsidRPr="005767EF">
              <w:rPr>
                <w:rFonts w:asciiTheme="minorHAnsi" w:hAnsiTheme="minorHAnsi"/>
                <w:sz w:val="20"/>
                <w:szCs w:val="20"/>
                <w:lang w:val="en-US" w:eastAsia="en-US"/>
              </w:rPr>
              <w:t>Приходи од укидања резервисања</w:t>
            </w:r>
          </w:p>
        </w:tc>
        <w:tc>
          <w:tcPr>
            <w:tcW w:w="1560" w:type="dxa"/>
            <w:shd w:val="clear" w:color="000000" w:fill="FFFFFF"/>
            <w:vAlign w:val="center"/>
          </w:tcPr>
          <w:p w14:paraId="0FF4FED2"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450.000,00</w:t>
            </w:r>
          </w:p>
        </w:tc>
        <w:tc>
          <w:tcPr>
            <w:tcW w:w="1559" w:type="dxa"/>
            <w:shd w:val="clear" w:color="000000" w:fill="FFFFFF"/>
            <w:noWrap/>
            <w:vAlign w:val="center"/>
          </w:tcPr>
          <w:p w14:paraId="44E08B17"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103.851,54</w:t>
            </w:r>
          </w:p>
        </w:tc>
        <w:tc>
          <w:tcPr>
            <w:tcW w:w="1286" w:type="dxa"/>
            <w:shd w:val="clear" w:color="000000" w:fill="FFFFFF"/>
            <w:vAlign w:val="center"/>
          </w:tcPr>
          <w:p w14:paraId="7544D229" w14:textId="77777777" w:rsidR="00D834EE" w:rsidRPr="005767EF" w:rsidRDefault="00D834EE" w:rsidP="00D834EE">
            <w:pPr>
              <w:jc w:val="right"/>
              <w:rPr>
                <w:rFonts w:asciiTheme="minorHAnsi" w:hAnsiTheme="minorHAnsi"/>
                <w:bCs/>
                <w:sz w:val="20"/>
                <w:szCs w:val="20"/>
              </w:rPr>
            </w:pPr>
            <w:r w:rsidRPr="005767EF">
              <w:rPr>
                <w:rFonts w:asciiTheme="minorHAnsi" w:hAnsiTheme="minorHAnsi"/>
                <w:bCs/>
                <w:sz w:val="20"/>
                <w:szCs w:val="20"/>
                <w:lang w:val="sr-Cyrl-BA" w:eastAsia="en-US"/>
              </w:rPr>
              <w:t>23,08</w:t>
            </w:r>
          </w:p>
        </w:tc>
      </w:tr>
      <w:tr w:rsidR="00D834EE" w:rsidRPr="005767EF" w14:paraId="2E147611" w14:textId="77777777" w:rsidTr="009346DA">
        <w:trPr>
          <w:trHeight w:val="300"/>
          <w:jc w:val="center"/>
        </w:trPr>
        <w:tc>
          <w:tcPr>
            <w:tcW w:w="4093" w:type="dxa"/>
            <w:shd w:val="clear" w:color="000000" w:fill="FFFFFF"/>
            <w:noWrap/>
            <w:vAlign w:val="center"/>
            <w:hideMark/>
          </w:tcPr>
          <w:p w14:paraId="56BE790A" w14:textId="77777777" w:rsidR="00D834EE" w:rsidRPr="005767EF" w:rsidRDefault="00D834EE" w:rsidP="001538EF">
            <w:pPr>
              <w:jc w:val="left"/>
              <w:rPr>
                <w:rFonts w:asciiTheme="minorHAnsi" w:hAnsiTheme="minorHAnsi"/>
                <w:b/>
                <w:bCs/>
                <w:iCs/>
                <w:sz w:val="20"/>
                <w:szCs w:val="20"/>
                <w:lang w:val="en-US" w:eastAsia="en-US"/>
              </w:rPr>
            </w:pPr>
            <w:r w:rsidRPr="005767EF">
              <w:rPr>
                <w:rFonts w:asciiTheme="minorHAnsi" w:hAnsiTheme="minorHAnsi"/>
                <w:b/>
                <w:bCs/>
                <w:iCs/>
                <w:sz w:val="20"/>
                <w:szCs w:val="20"/>
                <w:lang w:val="en-US" w:eastAsia="en-US"/>
              </w:rPr>
              <w:t>Укупни расходи</w:t>
            </w:r>
          </w:p>
        </w:tc>
        <w:tc>
          <w:tcPr>
            <w:tcW w:w="1560" w:type="dxa"/>
            <w:shd w:val="clear" w:color="000000" w:fill="FFFFFF"/>
            <w:vAlign w:val="center"/>
          </w:tcPr>
          <w:p w14:paraId="64364661" w14:textId="77777777" w:rsidR="00D834EE" w:rsidRPr="005767EF" w:rsidRDefault="00D834EE" w:rsidP="00D834EE">
            <w:pPr>
              <w:jc w:val="right"/>
              <w:rPr>
                <w:rFonts w:asciiTheme="minorHAnsi" w:hAnsiTheme="minorHAnsi"/>
                <w:b/>
                <w:sz w:val="20"/>
                <w:szCs w:val="20"/>
                <w:lang w:val="sr-Cyrl-BA" w:eastAsia="en-US"/>
              </w:rPr>
            </w:pPr>
            <w:r w:rsidRPr="005767EF">
              <w:rPr>
                <w:rFonts w:asciiTheme="minorHAnsi" w:hAnsiTheme="minorHAnsi"/>
                <w:b/>
                <w:sz w:val="20"/>
                <w:szCs w:val="20"/>
                <w:lang w:val="sr-Cyrl-BA" w:eastAsia="en-US"/>
              </w:rPr>
              <w:t>2.176.615,33</w:t>
            </w:r>
          </w:p>
        </w:tc>
        <w:tc>
          <w:tcPr>
            <w:tcW w:w="1559" w:type="dxa"/>
            <w:shd w:val="clear" w:color="000000" w:fill="FFFFFF"/>
            <w:noWrap/>
            <w:vAlign w:val="center"/>
          </w:tcPr>
          <w:p w14:paraId="1136D799" w14:textId="77777777" w:rsidR="00D834EE"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val="sr-Cyrl-BA" w:eastAsia="en-US"/>
              </w:rPr>
              <w:t>3.062.064,17</w:t>
            </w:r>
          </w:p>
        </w:tc>
        <w:tc>
          <w:tcPr>
            <w:tcW w:w="1286" w:type="dxa"/>
            <w:shd w:val="clear" w:color="000000" w:fill="FFFFFF"/>
            <w:vAlign w:val="center"/>
          </w:tcPr>
          <w:p w14:paraId="7FF9D2AF" w14:textId="77777777" w:rsidR="00D834EE" w:rsidRPr="005767EF" w:rsidRDefault="00D834EE" w:rsidP="00D834EE">
            <w:pPr>
              <w:jc w:val="right"/>
              <w:rPr>
                <w:rFonts w:asciiTheme="minorHAnsi" w:hAnsiTheme="minorHAnsi"/>
                <w:b/>
                <w:bCs/>
                <w:sz w:val="20"/>
                <w:szCs w:val="20"/>
              </w:rPr>
            </w:pPr>
            <w:r w:rsidRPr="005767EF">
              <w:rPr>
                <w:rFonts w:asciiTheme="minorHAnsi" w:hAnsiTheme="minorHAnsi"/>
                <w:b/>
                <w:bCs/>
                <w:sz w:val="20"/>
                <w:szCs w:val="20"/>
                <w:lang w:val="sr-Cyrl-BA" w:eastAsia="en-US"/>
              </w:rPr>
              <w:t>140,68</w:t>
            </w:r>
          </w:p>
        </w:tc>
      </w:tr>
      <w:tr w:rsidR="00D834EE" w:rsidRPr="005767EF" w14:paraId="6E48445B" w14:textId="77777777" w:rsidTr="009346DA">
        <w:trPr>
          <w:trHeight w:val="300"/>
          <w:jc w:val="center"/>
        </w:trPr>
        <w:tc>
          <w:tcPr>
            <w:tcW w:w="4093" w:type="dxa"/>
            <w:shd w:val="clear" w:color="000000" w:fill="FFFFFF"/>
            <w:noWrap/>
            <w:vAlign w:val="center"/>
            <w:hideMark/>
          </w:tcPr>
          <w:p w14:paraId="620232A1" w14:textId="77777777" w:rsidR="00D834EE" w:rsidRPr="005767EF" w:rsidRDefault="00D834EE" w:rsidP="001538EF">
            <w:pPr>
              <w:jc w:val="left"/>
              <w:rPr>
                <w:rFonts w:asciiTheme="minorHAnsi" w:hAnsiTheme="minorHAnsi"/>
                <w:sz w:val="20"/>
                <w:szCs w:val="20"/>
                <w:lang w:val="en-US" w:eastAsia="en-US"/>
              </w:rPr>
            </w:pPr>
            <w:r w:rsidRPr="005767EF">
              <w:rPr>
                <w:rFonts w:asciiTheme="minorHAnsi" w:hAnsiTheme="minorHAnsi"/>
                <w:sz w:val="20"/>
                <w:szCs w:val="20"/>
                <w:lang w:val="en-US" w:eastAsia="en-US"/>
              </w:rPr>
              <w:t>Трошкови пословања</w:t>
            </w:r>
          </w:p>
        </w:tc>
        <w:tc>
          <w:tcPr>
            <w:tcW w:w="1560" w:type="dxa"/>
            <w:shd w:val="clear" w:color="000000" w:fill="FFFFFF"/>
            <w:vAlign w:val="center"/>
          </w:tcPr>
          <w:p w14:paraId="095D3D22"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1.956.615,33</w:t>
            </w:r>
          </w:p>
        </w:tc>
        <w:tc>
          <w:tcPr>
            <w:tcW w:w="1559" w:type="dxa"/>
            <w:shd w:val="clear" w:color="000000" w:fill="FFFFFF"/>
            <w:noWrap/>
            <w:vAlign w:val="center"/>
          </w:tcPr>
          <w:p w14:paraId="58FEF161" w14:textId="77777777" w:rsidR="00D834EE" w:rsidRPr="005767EF" w:rsidRDefault="00B54DD1" w:rsidP="00D834EE">
            <w:pPr>
              <w:jc w:val="right"/>
              <w:rPr>
                <w:rFonts w:asciiTheme="minorHAnsi" w:hAnsiTheme="minorHAnsi"/>
                <w:sz w:val="20"/>
                <w:szCs w:val="20"/>
                <w:lang w:val="sr-Cyrl-BA" w:eastAsia="en-US"/>
              </w:rPr>
            </w:pPr>
            <w:r>
              <w:rPr>
                <w:rFonts w:asciiTheme="minorHAnsi" w:hAnsiTheme="minorHAnsi"/>
                <w:bCs/>
                <w:sz w:val="20"/>
                <w:szCs w:val="20"/>
                <w:lang w:val="sr-Cyrl-BA" w:eastAsia="sr-Latn-RS"/>
              </w:rPr>
              <w:t>1.936.463,62</w:t>
            </w:r>
          </w:p>
        </w:tc>
        <w:tc>
          <w:tcPr>
            <w:tcW w:w="1286" w:type="dxa"/>
            <w:shd w:val="clear" w:color="000000" w:fill="FFFFFF"/>
            <w:vAlign w:val="center"/>
          </w:tcPr>
          <w:p w14:paraId="477F00A3" w14:textId="77777777" w:rsidR="00D834EE" w:rsidRPr="00ED1AED" w:rsidRDefault="00ED1AED" w:rsidP="00D834EE">
            <w:pPr>
              <w:jc w:val="right"/>
              <w:rPr>
                <w:rFonts w:asciiTheme="minorHAnsi" w:hAnsiTheme="minorHAnsi"/>
                <w:bCs/>
                <w:sz w:val="20"/>
                <w:szCs w:val="20"/>
                <w:lang w:val="sr-Cyrl-RS"/>
              </w:rPr>
            </w:pPr>
            <w:r>
              <w:rPr>
                <w:rFonts w:asciiTheme="minorHAnsi" w:hAnsiTheme="minorHAnsi"/>
                <w:bCs/>
                <w:sz w:val="20"/>
                <w:szCs w:val="20"/>
                <w:lang w:val="sr-Cyrl-RS"/>
              </w:rPr>
              <w:t>98,97</w:t>
            </w:r>
          </w:p>
        </w:tc>
      </w:tr>
      <w:tr w:rsidR="00D834EE" w:rsidRPr="005767EF" w14:paraId="3C2F3CBD" w14:textId="77777777" w:rsidTr="009346DA">
        <w:trPr>
          <w:trHeight w:val="300"/>
          <w:jc w:val="center"/>
        </w:trPr>
        <w:tc>
          <w:tcPr>
            <w:tcW w:w="4093" w:type="dxa"/>
            <w:shd w:val="clear" w:color="auto" w:fill="FFFFFF"/>
            <w:noWrap/>
            <w:vAlign w:val="center"/>
            <w:hideMark/>
          </w:tcPr>
          <w:p w14:paraId="65733A69" w14:textId="77777777" w:rsidR="00D834EE" w:rsidRPr="00B54DD1" w:rsidRDefault="00B54DD1" w:rsidP="001538EF">
            <w:pPr>
              <w:jc w:val="left"/>
              <w:rPr>
                <w:rFonts w:asciiTheme="minorHAnsi" w:hAnsiTheme="minorHAnsi"/>
                <w:sz w:val="20"/>
                <w:szCs w:val="20"/>
                <w:lang w:val="sr-Cyrl-RS" w:eastAsia="en-US"/>
              </w:rPr>
            </w:pPr>
            <w:r>
              <w:rPr>
                <w:rFonts w:asciiTheme="minorHAnsi" w:hAnsiTheme="minorHAnsi"/>
                <w:sz w:val="20"/>
                <w:szCs w:val="20"/>
                <w:lang w:val="sr-Cyrl-RS" w:eastAsia="en-US"/>
              </w:rPr>
              <w:t xml:space="preserve">Расходи </w:t>
            </w:r>
          </w:p>
        </w:tc>
        <w:tc>
          <w:tcPr>
            <w:tcW w:w="1560" w:type="dxa"/>
            <w:shd w:val="clear" w:color="auto" w:fill="FFFFFF"/>
            <w:vAlign w:val="center"/>
          </w:tcPr>
          <w:p w14:paraId="1094C8F5"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220.000,00</w:t>
            </w:r>
          </w:p>
        </w:tc>
        <w:tc>
          <w:tcPr>
            <w:tcW w:w="1559" w:type="dxa"/>
            <w:shd w:val="clear" w:color="auto" w:fill="FFFFFF"/>
            <w:noWrap/>
            <w:vAlign w:val="center"/>
          </w:tcPr>
          <w:p w14:paraId="36EE0751" w14:textId="77777777" w:rsidR="00D834EE" w:rsidRPr="005767EF" w:rsidRDefault="00D834EE" w:rsidP="00B54DD1">
            <w:pPr>
              <w:jc w:val="right"/>
              <w:rPr>
                <w:rFonts w:asciiTheme="minorHAnsi" w:hAnsiTheme="minorHAnsi"/>
                <w:sz w:val="20"/>
                <w:szCs w:val="20"/>
                <w:lang w:val="sr-Cyrl-BA" w:eastAsia="en-US"/>
              </w:rPr>
            </w:pPr>
            <w:r w:rsidRPr="005767EF">
              <w:rPr>
                <w:rFonts w:asciiTheme="minorHAnsi" w:hAnsiTheme="minorHAnsi"/>
                <w:sz w:val="20"/>
                <w:szCs w:val="20"/>
                <w:lang w:val="sr-Cyrl-BA" w:eastAsia="en-US"/>
              </w:rPr>
              <w:t>1.</w:t>
            </w:r>
            <w:r w:rsidR="00B54DD1">
              <w:rPr>
                <w:rFonts w:asciiTheme="minorHAnsi" w:hAnsiTheme="minorHAnsi"/>
                <w:sz w:val="20"/>
                <w:szCs w:val="20"/>
                <w:lang w:val="sr-Cyrl-BA" w:eastAsia="en-US"/>
              </w:rPr>
              <w:t>125.600,55</w:t>
            </w:r>
          </w:p>
        </w:tc>
        <w:tc>
          <w:tcPr>
            <w:tcW w:w="1286" w:type="dxa"/>
            <w:shd w:val="clear" w:color="auto" w:fill="FFFFFF"/>
            <w:vAlign w:val="center"/>
          </w:tcPr>
          <w:p w14:paraId="649B7DA0" w14:textId="77777777" w:rsidR="00D834EE" w:rsidRPr="00ED1AED" w:rsidRDefault="00ED1AED" w:rsidP="00D834EE">
            <w:pPr>
              <w:jc w:val="right"/>
              <w:rPr>
                <w:rFonts w:asciiTheme="minorHAnsi" w:hAnsiTheme="minorHAnsi"/>
                <w:bCs/>
                <w:sz w:val="20"/>
                <w:szCs w:val="20"/>
                <w:lang w:val="sr-Cyrl-RS"/>
              </w:rPr>
            </w:pPr>
            <w:r>
              <w:rPr>
                <w:rFonts w:asciiTheme="minorHAnsi" w:hAnsiTheme="minorHAnsi"/>
                <w:bCs/>
                <w:sz w:val="20"/>
                <w:szCs w:val="20"/>
                <w:lang w:val="sr-Cyrl-RS"/>
              </w:rPr>
              <w:t>511,64</w:t>
            </w:r>
          </w:p>
        </w:tc>
      </w:tr>
      <w:tr w:rsidR="001538EF" w:rsidRPr="005767EF" w14:paraId="701BB49A" w14:textId="77777777" w:rsidTr="00D53F87">
        <w:trPr>
          <w:trHeight w:val="300"/>
          <w:jc w:val="center"/>
        </w:trPr>
        <w:tc>
          <w:tcPr>
            <w:tcW w:w="4093" w:type="dxa"/>
            <w:shd w:val="clear" w:color="auto" w:fill="8DB3E2" w:themeFill="text2" w:themeFillTint="66"/>
            <w:noWrap/>
            <w:vAlign w:val="center"/>
          </w:tcPr>
          <w:p w14:paraId="7B3A01C9" w14:textId="77777777" w:rsidR="001538EF" w:rsidRPr="005767EF" w:rsidRDefault="001538EF" w:rsidP="001538EF">
            <w:pPr>
              <w:jc w:val="left"/>
              <w:rPr>
                <w:rFonts w:asciiTheme="minorHAnsi" w:hAnsiTheme="minorHAnsi"/>
                <w:b/>
                <w:bCs/>
                <w:iCs/>
                <w:sz w:val="20"/>
                <w:szCs w:val="20"/>
                <w:lang w:val="sr-Cyrl-BA" w:eastAsia="en-US"/>
              </w:rPr>
            </w:pPr>
            <w:r w:rsidRPr="005767EF">
              <w:rPr>
                <w:rFonts w:asciiTheme="minorHAnsi" w:hAnsiTheme="minorHAnsi"/>
                <w:b/>
                <w:bCs/>
                <w:iCs/>
                <w:sz w:val="20"/>
                <w:szCs w:val="20"/>
                <w:lang w:val="sr-Cyrl-BA" w:eastAsia="en-US"/>
              </w:rPr>
              <w:t>Добит</w:t>
            </w:r>
            <w:r w:rsidR="00E46707">
              <w:rPr>
                <w:rFonts w:asciiTheme="minorHAnsi" w:hAnsiTheme="minorHAnsi"/>
                <w:b/>
                <w:bCs/>
                <w:iCs/>
                <w:sz w:val="20"/>
                <w:szCs w:val="20"/>
                <w:lang w:val="sr-Cyrl-BA" w:eastAsia="en-US"/>
              </w:rPr>
              <w:t>/Губитак</w:t>
            </w:r>
          </w:p>
        </w:tc>
        <w:tc>
          <w:tcPr>
            <w:tcW w:w="1560" w:type="dxa"/>
            <w:shd w:val="clear" w:color="auto" w:fill="8DB3E2" w:themeFill="text2" w:themeFillTint="66"/>
            <w:vAlign w:val="center"/>
          </w:tcPr>
          <w:p w14:paraId="7B638822" w14:textId="77777777" w:rsidR="001538EF"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val="sr-Cyrl-BA" w:eastAsia="en-US"/>
              </w:rPr>
              <w:t>36.384,67</w:t>
            </w:r>
          </w:p>
        </w:tc>
        <w:tc>
          <w:tcPr>
            <w:tcW w:w="1559" w:type="dxa"/>
            <w:shd w:val="clear" w:color="auto" w:fill="8DB3E2" w:themeFill="text2" w:themeFillTint="66"/>
            <w:vAlign w:val="center"/>
          </w:tcPr>
          <w:p w14:paraId="346A73F8" w14:textId="77777777" w:rsidR="001538EF"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val="sr-Cyrl-BA" w:eastAsia="en-US"/>
              </w:rPr>
              <w:t>-1.785.699,11</w:t>
            </w:r>
          </w:p>
        </w:tc>
        <w:tc>
          <w:tcPr>
            <w:tcW w:w="1286" w:type="dxa"/>
            <w:shd w:val="clear" w:color="auto" w:fill="8DB3E2" w:themeFill="text2" w:themeFillTint="66"/>
            <w:vAlign w:val="center"/>
          </w:tcPr>
          <w:p w14:paraId="72EFAF0F" w14:textId="77777777" w:rsidR="001538EF" w:rsidRPr="005767EF" w:rsidRDefault="001538EF" w:rsidP="00D834EE">
            <w:pPr>
              <w:jc w:val="right"/>
              <w:rPr>
                <w:rFonts w:asciiTheme="minorHAnsi" w:hAnsiTheme="minorHAnsi"/>
                <w:b/>
                <w:bCs/>
                <w:iCs/>
                <w:sz w:val="20"/>
                <w:szCs w:val="20"/>
                <w:lang w:eastAsia="en-US"/>
              </w:rPr>
            </w:pPr>
          </w:p>
        </w:tc>
      </w:tr>
    </w:tbl>
    <w:p w14:paraId="71EC7659" w14:textId="77777777" w:rsidR="001538EF" w:rsidRPr="005767EF" w:rsidRDefault="001538EF" w:rsidP="001538EF">
      <w:pPr>
        <w:jc w:val="left"/>
        <w:rPr>
          <w:rFonts w:asciiTheme="minorHAnsi" w:eastAsia="Calibri" w:hAnsiTheme="minorHAnsi"/>
          <w:color w:val="auto"/>
          <w:sz w:val="20"/>
          <w:szCs w:val="20"/>
          <w:lang w:val="en-GB" w:eastAsia="en-US"/>
        </w:rPr>
      </w:pPr>
    </w:p>
    <w:p w14:paraId="17851EA8" w14:textId="77777777" w:rsidR="00F10264" w:rsidRDefault="001538EF" w:rsidP="001538EF">
      <w:pPr>
        <w:rPr>
          <w:rFonts w:asciiTheme="minorHAnsi" w:eastAsia="Calibri" w:hAnsiTheme="minorHAnsi"/>
          <w:color w:val="auto"/>
          <w:sz w:val="20"/>
          <w:szCs w:val="20"/>
          <w:lang w:val="sr-Cyrl-BA" w:eastAsia="en-US"/>
        </w:rPr>
      </w:pPr>
      <w:r w:rsidRPr="005767EF">
        <w:rPr>
          <w:rFonts w:asciiTheme="minorHAnsi" w:eastAsia="Calibri" w:hAnsiTheme="minorHAnsi"/>
          <w:color w:val="auto"/>
          <w:sz w:val="20"/>
          <w:szCs w:val="20"/>
          <w:lang w:val="en-GB" w:eastAsia="en-US"/>
        </w:rPr>
        <w:t>У 202</w:t>
      </w:r>
      <w:r w:rsidR="00301497" w:rsidRPr="005767EF">
        <w:rPr>
          <w:rFonts w:asciiTheme="minorHAnsi" w:eastAsia="Calibri" w:hAnsiTheme="minorHAnsi"/>
          <w:color w:val="auto"/>
          <w:sz w:val="20"/>
          <w:szCs w:val="20"/>
          <w:lang w:val="sr-Cyrl-BA" w:eastAsia="en-US"/>
        </w:rPr>
        <w:t>3</w:t>
      </w:r>
      <w:r w:rsidRPr="005767EF">
        <w:rPr>
          <w:rFonts w:asciiTheme="minorHAnsi" w:eastAsia="Calibri" w:hAnsiTheme="minorHAnsi"/>
          <w:color w:val="auto"/>
          <w:sz w:val="20"/>
          <w:szCs w:val="20"/>
          <w:lang w:val="en-GB" w:eastAsia="en-US"/>
        </w:rPr>
        <w:t>. години</w:t>
      </w:r>
      <w:r w:rsidR="00E46707">
        <w:rPr>
          <w:rFonts w:asciiTheme="minorHAnsi" w:eastAsia="Calibri" w:hAnsiTheme="minorHAnsi"/>
          <w:color w:val="auto"/>
          <w:sz w:val="20"/>
          <w:szCs w:val="20"/>
          <w:lang w:val="sr-Cyrl-RS" w:eastAsia="en-US"/>
        </w:rPr>
        <w:t>,</w:t>
      </w:r>
      <w:r w:rsidRPr="005767EF">
        <w:rPr>
          <w:rFonts w:asciiTheme="minorHAnsi" w:eastAsia="Calibri" w:hAnsiTheme="minorHAnsi"/>
          <w:color w:val="auto"/>
          <w:sz w:val="20"/>
          <w:szCs w:val="20"/>
          <w:lang w:val="en-GB" w:eastAsia="en-US"/>
        </w:rPr>
        <w:t xml:space="preserve"> </w:t>
      </w:r>
      <w:r w:rsidR="00565F4D">
        <w:rPr>
          <w:rFonts w:asciiTheme="minorHAnsi" w:eastAsia="Calibri" w:hAnsiTheme="minorHAnsi"/>
          <w:color w:val="auto"/>
          <w:sz w:val="20"/>
          <w:szCs w:val="20"/>
          <w:lang w:val="sr-Cyrl-RS" w:eastAsia="en-US"/>
        </w:rPr>
        <w:t>Гарантни ф</w:t>
      </w:r>
      <w:r w:rsidRPr="005767EF">
        <w:rPr>
          <w:rFonts w:asciiTheme="minorHAnsi" w:eastAsia="Calibri" w:hAnsiTheme="minorHAnsi"/>
          <w:color w:val="auto"/>
          <w:sz w:val="20"/>
          <w:szCs w:val="20"/>
          <w:lang w:val="en-GB" w:eastAsia="en-US"/>
        </w:rPr>
        <w:t xml:space="preserve">онд </w:t>
      </w:r>
      <w:r w:rsidRPr="005767EF">
        <w:rPr>
          <w:rFonts w:asciiTheme="minorHAnsi" w:eastAsia="Calibri" w:hAnsiTheme="minorHAnsi"/>
          <w:color w:val="auto"/>
          <w:sz w:val="20"/>
          <w:szCs w:val="20"/>
          <w:lang w:val="sr-Cyrl-BA" w:eastAsia="en-US"/>
        </w:rPr>
        <w:t xml:space="preserve">је остварио </w:t>
      </w:r>
      <w:r w:rsidR="00301497" w:rsidRPr="005767EF">
        <w:rPr>
          <w:rFonts w:asciiTheme="minorHAnsi" w:eastAsia="Calibri" w:hAnsiTheme="minorHAnsi"/>
          <w:color w:val="auto"/>
          <w:sz w:val="20"/>
          <w:szCs w:val="20"/>
          <w:lang w:val="sr-Cyrl-BA" w:eastAsia="en-US"/>
        </w:rPr>
        <w:t xml:space="preserve">губитак </w:t>
      </w:r>
      <w:r w:rsidRPr="005767EF">
        <w:rPr>
          <w:rFonts w:asciiTheme="minorHAnsi" w:eastAsia="Calibri" w:hAnsiTheme="minorHAnsi"/>
          <w:color w:val="auto"/>
          <w:sz w:val="20"/>
          <w:szCs w:val="20"/>
          <w:lang w:val="sr-Cyrl-BA" w:eastAsia="en-US"/>
        </w:rPr>
        <w:t xml:space="preserve">у износу од </w:t>
      </w:r>
      <w:r w:rsidR="00301497" w:rsidRPr="005767EF">
        <w:rPr>
          <w:rFonts w:asciiTheme="minorHAnsi" w:eastAsia="Calibri" w:hAnsiTheme="minorHAnsi"/>
          <w:color w:val="auto"/>
          <w:sz w:val="20"/>
          <w:szCs w:val="20"/>
          <w:lang w:val="sr-Cyrl-BA" w:eastAsia="en-US"/>
        </w:rPr>
        <w:t>1.785.699,11</w:t>
      </w:r>
      <w:r w:rsidRPr="005767EF">
        <w:rPr>
          <w:rFonts w:asciiTheme="minorHAnsi" w:eastAsia="Calibri" w:hAnsiTheme="minorHAnsi"/>
          <w:color w:val="auto"/>
          <w:sz w:val="20"/>
          <w:szCs w:val="20"/>
          <w:lang w:val="sr-Cyrl-BA" w:eastAsia="en-US"/>
        </w:rPr>
        <w:t xml:space="preserve"> КМ. </w:t>
      </w:r>
      <w:r w:rsidR="00ED1AED">
        <w:rPr>
          <w:rFonts w:asciiTheme="minorHAnsi" w:eastAsia="Calibri" w:hAnsiTheme="minorHAnsi"/>
          <w:color w:val="auto"/>
          <w:sz w:val="20"/>
          <w:szCs w:val="20"/>
          <w:lang w:val="sr-Cyrl-BA" w:eastAsia="en-US"/>
        </w:rPr>
        <w:t>Остварени губитак је у директној вези са неостварењем</w:t>
      </w:r>
      <w:r w:rsidRPr="005767EF">
        <w:rPr>
          <w:rFonts w:asciiTheme="minorHAnsi" w:eastAsia="Calibri" w:hAnsiTheme="minorHAnsi"/>
          <w:color w:val="auto"/>
          <w:sz w:val="20"/>
          <w:szCs w:val="20"/>
          <w:lang w:val="sr-Cyrl-BA" w:eastAsia="en-US"/>
        </w:rPr>
        <w:t xml:space="preserve"> плана прихода од изданих гаранција,</w:t>
      </w:r>
      <w:r w:rsidR="00EA7186">
        <w:rPr>
          <w:rFonts w:asciiTheme="minorHAnsi" w:eastAsia="Calibri" w:hAnsiTheme="minorHAnsi"/>
          <w:color w:val="auto"/>
          <w:sz w:val="20"/>
          <w:szCs w:val="20"/>
          <w:lang w:val="sr-Cyrl-BA" w:eastAsia="en-US"/>
        </w:rPr>
        <w:t xml:space="preserve"> односно</w:t>
      </w:r>
      <w:r w:rsidRPr="005767EF">
        <w:rPr>
          <w:rFonts w:asciiTheme="minorHAnsi" w:eastAsia="Calibri" w:hAnsiTheme="minorHAnsi"/>
          <w:color w:val="auto"/>
          <w:sz w:val="20"/>
          <w:szCs w:val="20"/>
          <w:lang w:val="sr-Cyrl-BA" w:eastAsia="en-US"/>
        </w:rPr>
        <w:t xml:space="preserve"> неостварењем плана г</w:t>
      </w:r>
      <w:r w:rsidR="00ED1AED">
        <w:rPr>
          <w:rFonts w:asciiTheme="minorHAnsi" w:eastAsia="Calibri" w:hAnsiTheme="minorHAnsi"/>
          <w:color w:val="auto"/>
          <w:sz w:val="20"/>
          <w:szCs w:val="20"/>
          <w:lang w:val="sr-Cyrl-BA" w:eastAsia="en-US"/>
        </w:rPr>
        <w:t xml:space="preserve">аранција </w:t>
      </w:r>
      <w:r w:rsidR="00F10264">
        <w:rPr>
          <w:rFonts w:asciiTheme="minorHAnsi" w:eastAsia="Calibri" w:hAnsiTheme="minorHAnsi"/>
          <w:color w:val="auto"/>
          <w:sz w:val="20"/>
          <w:szCs w:val="20"/>
          <w:lang w:val="sr-Cyrl-BA" w:eastAsia="en-US"/>
        </w:rPr>
        <w:t xml:space="preserve">по свим основама за дату годину. Смањење гарантне активности у сегменту појединачних гаранција је узроковано све већом оријентацијом финансијских посредника на издавање гаранција у оквиру кредитног портфолија. Иако су гаранције на кредитни портфолио релативно нов производ, приказани подаци показују да гарантна активност у овом сегменту расте из године у годину. С обзиром да се тек очекује успостављање сарадње и са другим финансијским посредницима, реално је очекивати да ће овај сегмент издавања гаранција постати доминантан и доносити све веће приходе.   </w:t>
      </w:r>
    </w:p>
    <w:p w14:paraId="68F5E347" w14:textId="77777777" w:rsidR="00F10264" w:rsidRDefault="00F10264" w:rsidP="001538EF">
      <w:pPr>
        <w:rPr>
          <w:rFonts w:asciiTheme="minorHAnsi" w:eastAsia="Calibri" w:hAnsiTheme="minorHAnsi"/>
          <w:color w:val="auto"/>
          <w:sz w:val="20"/>
          <w:szCs w:val="20"/>
          <w:lang w:val="sr-Cyrl-BA" w:eastAsia="en-US"/>
        </w:rPr>
      </w:pPr>
    </w:p>
    <w:p w14:paraId="3C1D093D" w14:textId="77777777" w:rsidR="00E46707" w:rsidRDefault="00ED1AED" w:rsidP="001538EF">
      <w:pPr>
        <w:rPr>
          <w:rFonts w:asciiTheme="minorHAnsi" w:eastAsia="Calibri" w:hAnsiTheme="minorHAnsi"/>
          <w:color w:val="auto"/>
          <w:sz w:val="20"/>
          <w:szCs w:val="20"/>
          <w:lang w:val="sr-Cyrl-BA" w:eastAsia="en-US"/>
        </w:rPr>
      </w:pPr>
      <w:r>
        <w:rPr>
          <w:rFonts w:asciiTheme="minorHAnsi" w:eastAsia="Calibri" w:hAnsiTheme="minorHAnsi"/>
          <w:color w:val="auto"/>
          <w:sz w:val="20"/>
          <w:szCs w:val="20"/>
          <w:lang w:val="sr-Cyrl-BA" w:eastAsia="en-US"/>
        </w:rPr>
        <w:t xml:space="preserve">Иако је </w:t>
      </w:r>
      <w:r w:rsidR="00E46707">
        <w:rPr>
          <w:rFonts w:asciiTheme="minorHAnsi" w:eastAsia="Calibri" w:hAnsiTheme="minorHAnsi"/>
          <w:color w:val="auto"/>
          <w:sz w:val="20"/>
          <w:szCs w:val="20"/>
          <w:lang w:val="sr-Cyrl-BA" w:eastAsia="en-US"/>
        </w:rPr>
        <w:t>Фонд</w:t>
      </w:r>
      <w:r>
        <w:rPr>
          <w:rFonts w:asciiTheme="minorHAnsi" w:eastAsia="Calibri" w:hAnsiTheme="minorHAnsi"/>
          <w:color w:val="auto"/>
          <w:sz w:val="20"/>
          <w:szCs w:val="20"/>
          <w:lang w:val="sr-Cyrl-BA" w:eastAsia="en-US"/>
        </w:rPr>
        <w:t xml:space="preserve"> задржао трошкове пословања на нивоу од ранијих годи</w:t>
      </w:r>
      <w:r w:rsidR="00E46707">
        <w:rPr>
          <w:rFonts w:asciiTheme="minorHAnsi" w:eastAsia="Calibri" w:hAnsiTheme="minorHAnsi"/>
          <w:color w:val="auto"/>
          <w:sz w:val="20"/>
          <w:szCs w:val="20"/>
          <w:lang w:val="sr-Cyrl-BA" w:eastAsia="en-US"/>
        </w:rPr>
        <w:t>на, при чему је остварење у 2023. години чак и мање у односу на план</w:t>
      </w:r>
      <w:r>
        <w:rPr>
          <w:rFonts w:asciiTheme="minorHAnsi" w:eastAsia="Calibri" w:hAnsiTheme="minorHAnsi"/>
          <w:color w:val="auto"/>
          <w:sz w:val="20"/>
          <w:szCs w:val="20"/>
          <w:lang w:val="sr-Cyrl-BA" w:eastAsia="en-US"/>
        </w:rPr>
        <w:t xml:space="preserve">, вишеструко повећање расхода који се нису могли предвидјети је довело </w:t>
      </w:r>
      <w:r w:rsidR="00536E78">
        <w:rPr>
          <w:rFonts w:asciiTheme="minorHAnsi" w:eastAsia="Calibri" w:hAnsiTheme="minorHAnsi"/>
          <w:color w:val="auto"/>
          <w:sz w:val="20"/>
          <w:szCs w:val="20"/>
          <w:lang w:val="sr-Cyrl-BA" w:eastAsia="en-US"/>
        </w:rPr>
        <w:t xml:space="preserve">до </w:t>
      </w:r>
      <w:r>
        <w:rPr>
          <w:rFonts w:asciiTheme="minorHAnsi" w:eastAsia="Calibri" w:hAnsiTheme="minorHAnsi"/>
          <w:color w:val="auto"/>
          <w:sz w:val="20"/>
          <w:szCs w:val="20"/>
          <w:lang w:val="sr-Cyrl-BA" w:eastAsia="en-US"/>
        </w:rPr>
        <w:t xml:space="preserve">значајног раста укупних расхода, чиме су премашени укупни </w:t>
      </w:r>
      <w:r w:rsidR="00E46707">
        <w:rPr>
          <w:rFonts w:asciiTheme="minorHAnsi" w:eastAsia="Calibri" w:hAnsiTheme="minorHAnsi"/>
          <w:color w:val="auto"/>
          <w:sz w:val="20"/>
          <w:szCs w:val="20"/>
          <w:lang w:val="sr-Cyrl-BA" w:eastAsia="en-US"/>
        </w:rPr>
        <w:t>приходи и остварен негативан финансијски резултат.</w:t>
      </w:r>
      <w:r w:rsidR="00F10264">
        <w:rPr>
          <w:rFonts w:asciiTheme="minorHAnsi" w:eastAsia="Calibri" w:hAnsiTheme="minorHAnsi"/>
          <w:color w:val="auto"/>
          <w:sz w:val="20"/>
          <w:szCs w:val="20"/>
          <w:lang w:val="sr-Cyrl-BA" w:eastAsia="en-US"/>
        </w:rPr>
        <w:t xml:space="preserve"> Значајно повећање расхода је узроковано погоршањем финансијског положаја клијената Фонда, те повећањем ризика неизмирења обавеза, што је посљедично довело до раста расхода резервисања по издатим гаранцијама.</w:t>
      </w:r>
      <w:r w:rsidR="001A4047">
        <w:rPr>
          <w:rFonts w:asciiTheme="minorHAnsi" w:eastAsia="Calibri" w:hAnsiTheme="minorHAnsi"/>
          <w:color w:val="auto"/>
          <w:sz w:val="20"/>
          <w:szCs w:val="20"/>
          <w:lang w:val="sr-Cyrl-BA" w:eastAsia="en-US"/>
        </w:rPr>
        <w:t xml:space="preserve"> Поред наведеног, укупни расходи су увећани и за износ камате која је настала у вези са судским поступком који је окончан крајем 2023. године. Наведени расход није унапријед планиран због непредвидивости исхода судског процеса.</w:t>
      </w:r>
    </w:p>
    <w:p w14:paraId="40F838F6" w14:textId="77777777" w:rsidR="009346DA" w:rsidRPr="00330E93" w:rsidRDefault="009346DA" w:rsidP="001538EF">
      <w:pPr>
        <w:rPr>
          <w:rFonts w:asciiTheme="minorHAnsi" w:eastAsia="Calibri" w:hAnsiTheme="minorHAnsi"/>
          <w:color w:val="FF0000"/>
          <w:sz w:val="20"/>
          <w:szCs w:val="20"/>
          <w:lang w:val="sr-Cyrl-BA" w:eastAsia="en-US"/>
        </w:rPr>
      </w:pPr>
    </w:p>
    <w:p w14:paraId="0DADFA01" w14:textId="77777777" w:rsidR="001538EF" w:rsidRDefault="001538EF" w:rsidP="001538EF">
      <w:pPr>
        <w:ind w:right="-142"/>
        <w:rPr>
          <w:rFonts w:asciiTheme="minorHAnsi" w:eastAsia="Calibri" w:hAnsiTheme="minorHAnsi"/>
          <w:color w:val="auto"/>
          <w:sz w:val="20"/>
          <w:szCs w:val="20"/>
          <w:lang w:val="sr-Cyrl-BA" w:eastAsia="en-US"/>
        </w:rPr>
      </w:pPr>
      <w:r w:rsidRPr="009B6FAB">
        <w:rPr>
          <w:rFonts w:asciiTheme="minorHAnsi" w:eastAsiaTheme="minorHAnsi" w:hAnsiTheme="minorHAnsi"/>
          <w:color w:val="auto"/>
          <w:sz w:val="20"/>
          <w:szCs w:val="20"/>
          <w:lang w:val="sr-Latn-RS" w:eastAsia="en-US"/>
        </w:rPr>
        <w:t>Ревизију финансијских извјештаја за пословну 202</w:t>
      </w:r>
      <w:r w:rsidR="00301497" w:rsidRPr="009B6FAB">
        <w:rPr>
          <w:rFonts w:asciiTheme="minorHAnsi" w:eastAsiaTheme="minorHAnsi" w:hAnsiTheme="minorHAnsi"/>
          <w:color w:val="auto"/>
          <w:sz w:val="20"/>
          <w:szCs w:val="20"/>
          <w:lang w:val="sr-Cyrl-BA" w:eastAsia="en-US"/>
        </w:rPr>
        <w:t>3</w:t>
      </w:r>
      <w:r w:rsidRPr="009B6FAB">
        <w:rPr>
          <w:rFonts w:asciiTheme="minorHAnsi" w:eastAsiaTheme="minorHAnsi" w:hAnsiTheme="minorHAnsi"/>
          <w:color w:val="auto"/>
          <w:sz w:val="20"/>
          <w:szCs w:val="20"/>
          <w:lang w:val="sr-Latn-RS" w:eastAsia="en-US"/>
        </w:rPr>
        <w:t>. годину је обавила ревизорска кућа „Ревизор“ д.о.о.</w:t>
      </w:r>
      <w:r w:rsidRPr="009B6FAB">
        <w:rPr>
          <w:rFonts w:asciiTheme="minorHAnsi" w:eastAsiaTheme="minorHAnsi" w:hAnsiTheme="minorHAnsi"/>
          <w:color w:val="auto"/>
          <w:sz w:val="20"/>
          <w:szCs w:val="20"/>
          <w:lang w:val="sr-Cyrl-BA" w:eastAsia="en-US"/>
        </w:rPr>
        <w:t xml:space="preserve"> </w:t>
      </w:r>
      <w:r w:rsidRPr="009B6FAB">
        <w:rPr>
          <w:rFonts w:asciiTheme="minorHAnsi" w:eastAsiaTheme="minorHAnsi" w:hAnsiTheme="minorHAnsi"/>
          <w:color w:val="auto"/>
          <w:sz w:val="20"/>
          <w:szCs w:val="20"/>
          <w:lang w:val="sr-Latn-RS" w:eastAsia="en-US"/>
        </w:rPr>
        <w:t>Добој и достави</w:t>
      </w:r>
      <w:r w:rsidRPr="009B6FAB">
        <w:rPr>
          <w:rFonts w:asciiTheme="minorHAnsi" w:eastAsiaTheme="minorHAnsi" w:hAnsiTheme="minorHAnsi"/>
          <w:color w:val="auto"/>
          <w:sz w:val="20"/>
          <w:szCs w:val="20"/>
          <w:lang w:val="sr-Cyrl-BA" w:eastAsia="en-US"/>
        </w:rPr>
        <w:t>ла</w:t>
      </w:r>
      <w:r w:rsidRPr="009B6FAB">
        <w:rPr>
          <w:rFonts w:asciiTheme="minorHAnsi" w:eastAsiaTheme="minorHAnsi" w:hAnsiTheme="minorHAnsi"/>
          <w:color w:val="auto"/>
          <w:sz w:val="20"/>
          <w:szCs w:val="20"/>
          <w:lang w:val="sr-Latn-RS" w:eastAsia="en-US"/>
        </w:rPr>
        <w:t xml:space="preserve"> следеће мишљење:</w:t>
      </w:r>
      <w:r w:rsidRPr="009B6FAB">
        <w:rPr>
          <w:rFonts w:asciiTheme="minorHAnsi" w:eastAsia="Calibri" w:hAnsiTheme="minorHAnsi"/>
          <w:color w:val="auto"/>
          <w:sz w:val="20"/>
          <w:szCs w:val="20"/>
          <w:lang w:val="sr-Cyrl-BA" w:eastAsia="en-US"/>
        </w:rPr>
        <w:tab/>
      </w:r>
    </w:p>
    <w:p w14:paraId="665CBA86" w14:textId="77777777" w:rsidR="00E46707" w:rsidRPr="009B6FAB" w:rsidRDefault="00E46707" w:rsidP="001538EF">
      <w:pPr>
        <w:ind w:right="-142"/>
        <w:rPr>
          <w:rFonts w:asciiTheme="minorHAnsi" w:eastAsia="Calibri" w:hAnsiTheme="minorHAnsi"/>
          <w:color w:val="auto"/>
          <w:sz w:val="20"/>
          <w:szCs w:val="20"/>
          <w:lang w:val="sr-Cyrl-BA" w:eastAsia="en-US"/>
        </w:rPr>
      </w:pPr>
    </w:p>
    <w:p w14:paraId="0E6C8F6F" w14:textId="77777777" w:rsidR="00E46707" w:rsidRDefault="001538EF" w:rsidP="001538EF">
      <w:pPr>
        <w:rPr>
          <w:rFonts w:asciiTheme="minorHAnsi" w:hAnsiTheme="minorHAnsi"/>
          <w:color w:val="auto"/>
          <w:sz w:val="20"/>
          <w:szCs w:val="20"/>
          <w:lang w:val="sr-Cyrl-BA"/>
        </w:rPr>
      </w:pPr>
      <w:r w:rsidRPr="009B6FAB">
        <w:rPr>
          <w:rFonts w:asciiTheme="minorHAnsi" w:hAnsiTheme="minorHAnsi"/>
          <w:color w:val="auto"/>
          <w:sz w:val="20"/>
          <w:szCs w:val="20"/>
          <w:lang w:val="sr-Cyrl-BA"/>
        </w:rPr>
        <w:t>„</w:t>
      </w:r>
      <w:r w:rsidRPr="009B6FAB">
        <w:rPr>
          <w:rFonts w:asciiTheme="minorHAnsi" w:hAnsiTheme="minorHAnsi"/>
          <w:color w:val="auto"/>
          <w:sz w:val="20"/>
          <w:szCs w:val="20"/>
          <w:lang w:val="sr-Latn-CS"/>
        </w:rPr>
        <w:t xml:space="preserve">По нашем мишљењу, приложени финансијски извјештаји приказују </w:t>
      </w:r>
      <w:r w:rsidRPr="009B6FAB">
        <w:rPr>
          <w:rFonts w:asciiTheme="minorHAnsi" w:hAnsiTheme="minorHAnsi"/>
          <w:b/>
          <w:color w:val="auto"/>
          <w:sz w:val="20"/>
          <w:szCs w:val="20"/>
          <w:lang w:val="sr-Latn-CS"/>
        </w:rPr>
        <w:t>истинито и објективно</w:t>
      </w:r>
      <w:r w:rsidRPr="009B6FAB">
        <w:rPr>
          <w:rFonts w:asciiTheme="minorHAnsi" w:hAnsiTheme="minorHAnsi"/>
          <w:color w:val="auto"/>
          <w:sz w:val="20"/>
          <w:szCs w:val="20"/>
          <w:lang w:val="sr-Latn-CS"/>
        </w:rPr>
        <w:t>, по свим материјално значајним питањима, финансијско стање</w:t>
      </w:r>
      <w:r w:rsidR="009346DA" w:rsidRPr="009B6FAB">
        <w:rPr>
          <w:rFonts w:asciiTheme="minorHAnsi" w:hAnsiTheme="minorHAnsi"/>
          <w:color w:val="auto"/>
          <w:sz w:val="20"/>
          <w:szCs w:val="20"/>
          <w:lang w:val="sr-Latn-CS"/>
        </w:rPr>
        <w:t xml:space="preserve"> Фонда, на дан 31. децембра 202</w:t>
      </w:r>
      <w:r w:rsidR="009346DA" w:rsidRPr="009B6FAB">
        <w:rPr>
          <w:rFonts w:asciiTheme="minorHAnsi" w:hAnsiTheme="minorHAnsi"/>
          <w:color w:val="auto"/>
          <w:sz w:val="20"/>
          <w:szCs w:val="20"/>
          <w:lang w:val="sr-Cyrl-RS"/>
        </w:rPr>
        <w:t>3</w:t>
      </w:r>
      <w:r w:rsidRPr="009B6FAB">
        <w:rPr>
          <w:rFonts w:asciiTheme="minorHAnsi" w:hAnsiTheme="minorHAnsi"/>
          <w:color w:val="auto"/>
          <w:sz w:val="20"/>
          <w:szCs w:val="20"/>
          <w:lang w:val="sr-Latn-CS"/>
        </w:rPr>
        <w:t xml:space="preserve">.  године, резултате његовог пословања и новчане токове за годину која се завршава на тај дан, </w:t>
      </w:r>
      <w:r w:rsidRPr="009B6FAB">
        <w:rPr>
          <w:rFonts w:asciiTheme="minorHAnsi" w:hAnsiTheme="minorHAnsi"/>
          <w:color w:val="auto"/>
          <w:sz w:val="20"/>
          <w:szCs w:val="20"/>
          <w:lang w:val="sr-Cyrl-CS"/>
        </w:rPr>
        <w:t>у скл</w:t>
      </w:r>
      <w:r w:rsidRPr="009B6FAB">
        <w:rPr>
          <w:rFonts w:asciiTheme="minorHAnsi" w:hAnsiTheme="minorHAnsi"/>
          <w:color w:val="auto"/>
          <w:sz w:val="20"/>
          <w:szCs w:val="20"/>
          <w:lang w:val="sr-Latn-CS"/>
        </w:rPr>
        <w:t>а</w:t>
      </w:r>
      <w:r w:rsidRPr="009B6FAB">
        <w:rPr>
          <w:rFonts w:asciiTheme="minorHAnsi" w:hAnsiTheme="minorHAnsi"/>
          <w:color w:val="auto"/>
          <w:sz w:val="20"/>
          <w:szCs w:val="20"/>
          <w:lang w:val="sr-Cyrl-CS"/>
        </w:rPr>
        <w:t xml:space="preserve">ду с </w:t>
      </w:r>
      <w:r w:rsidRPr="009B6FAB">
        <w:rPr>
          <w:rFonts w:asciiTheme="minorHAnsi" w:hAnsiTheme="minorHAnsi"/>
          <w:color w:val="auto"/>
          <w:sz w:val="20"/>
          <w:szCs w:val="20"/>
          <w:lang w:val="en-GB"/>
        </w:rPr>
        <w:t>рачуноводственим прописима Републике Српске</w:t>
      </w:r>
      <w:r w:rsidRPr="009B6FAB">
        <w:rPr>
          <w:rFonts w:asciiTheme="minorHAnsi" w:hAnsiTheme="minorHAnsi"/>
          <w:color w:val="auto"/>
          <w:sz w:val="20"/>
          <w:szCs w:val="20"/>
          <w:lang w:val="sr-Cyrl-BA"/>
        </w:rPr>
        <w:t>“.</w:t>
      </w:r>
    </w:p>
    <w:p w14:paraId="75C74640" w14:textId="77777777" w:rsidR="00F6210D" w:rsidRPr="00DF3C30" w:rsidRDefault="00F6210D" w:rsidP="001538EF">
      <w:pPr>
        <w:rPr>
          <w:rFonts w:asciiTheme="minorHAnsi" w:hAnsiTheme="minorHAnsi"/>
          <w:color w:val="auto"/>
          <w:sz w:val="20"/>
          <w:szCs w:val="20"/>
          <w:lang w:val="sr-Cyrl-BA"/>
        </w:rPr>
      </w:pPr>
    </w:p>
    <w:p w14:paraId="78DEF68A" w14:textId="77777777" w:rsidR="00F6210D" w:rsidRDefault="001538EF" w:rsidP="009B6FAB">
      <w:pPr>
        <w:rPr>
          <w:rFonts w:asciiTheme="minorHAnsi" w:hAnsiTheme="minorHAnsi"/>
          <w:color w:val="auto"/>
          <w:sz w:val="20"/>
          <w:szCs w:val="20"/>
          <w:lang w:val="sr-Cyrl-RS"/>
        </w:rPr>
      </w:pPr>
      <w:r w:rsidRPr="0075475E">
        <w:rPr>
          <w:rFonts w:asciiTheme="minorHAnsi" w:hAnsiTheme="minorHAnsi"/>
          <w:color w:val="auto"/>
          <w:sz w:val="20"/>
          <w:szCs w:val="20"/>
          <w:lang w:val="sr-Cyrl-BA"/>
        </w:rPr>
        <w:t>У поступку ревизије посебна пажња је усмјерена</w:t>
      </w:r>
      <w:r w:rsidRPr="0075475E">
        <w:rPr>
          <w:rFonts w:asciiTheme="minorHAnsi" w:hAnsiTheme="minorHAnsi"/>
          <w:color w:val="auto"/>
          <w:sz w:val="20"/>
          <w:szCs w:val="20"/>
          <w:lang w:val="sr-Latn-CS"/>
        </w:rPr>
        <w:t xml:space="preserve"> на </w:t>
      </w:r>
      <w:r w:rsidRPr="0075475E">
        <w:rPr>
          <w:rFonts w:asciiTheme="minorHAnsi" w:hAnsiTheme="minorHAnsi"/>
          <w:color w:val="auto"/>
          <w:sz w:val="20"/>
          <w:szCs w:val="20"/>
          <w:lang w:val="sr-Cyrl-BA"/>
        </w:rPr>
        <w:t>„</w:t>
      </w:r>
      <w:r w:rsidRPr="0075475E">
        <w:rPr>
          <w:rFonts w:asciiTheme="minorHAnsi" w:hAnsiTheme="minorHAnsi"/>
          <w:color w:val="auto"/>
          <w:sz w:val="20"/>
          <w:szCs w:val="20"/>
          <w:lang w:val="sr-Latn-CS"/>
        </w:rPr>
        <w:t>Остале пласмане у домаћој валути</w:t>
      </w:r>
      <w:r w:rsidRPr="0075475E">
        <w:rPr>
          <w:rFonts w:asciiTheme="minorHAnsi" w:hAnsiTheme="minorHAnsi"/>
          <w:color w:val="auto"/>
          <w:sz w:val="20"/>
          <w:szCs w:val="20"/>
          <w:lang w:val="sr-Cyrl-BA"/>
        </w:rPr>
        <w:t>“</w:t>
      </w:r>
      <w:r w:rsidRPr="0075475E">
        <w:rPr>
          <w:rFonts w:asciiTheme="minorHAnsi" w:hAnsiTheme="minorHAnsi"/>
          <w:color w:val="auto"/>
          <w:sz w:val="20"/>
          <w:szCs w:val="20"/>
          <w:lang w:val="sr-Latn-CS"/>
        </w:rPr>
        <w:t xml:space="preserve"> због значаја износа исказаног у билансу стања</w:t>
      </w:r>
      <w:r w:rsidRPr="0075475E">
        <w:rPr>
          <w:rFonts w:asciiTheme="minorHAnsi" w:hAnsiTheme="minorHAnsi"/>
          <w:color w:val="auto"/>
          <w:sz w:val="20"/>
          <w:szCs w:val="20"/>
          <w:lang w:val="sr-Cyrl-BA"/>
        </w:rPr>
        <w:t xml:space="preserve">. </w:t>
      </w:r>
      <w:r w:rsidRPr="0075475E">
        <w:rPr>
          <w:rFonts w:asciiTheme="minorHAnsi" w:hAnsiTheme="minorHAnsi"/>
          <w:color w:val="auto"/>
          <w:sz w:val="20"/>
          <w:szCs w:val="20"/>
          <w:lang w:val="sr-Latn-CS"/>
        </w:rPr>
        <w:t>Нис</w:t>
      </w:r>
      <w:r w:rsidRPr="0075475E">
        <w:rPr>
          <w:rFonts w:asciiTheme="minorHAnsi" w:hAnsiTheme="minorHAnsi"/>
          <w:color w:val="auto"/>
          <w:sz w:val="20"/>
          <w:szCs w:val="20"/>
          <w:lang w:val="sr-Cyrl-BA"/>
        </w:rPr>
        <w:t>у</w:t>
      </w:r>
      <w:r w:rsidRPr="0075475E">
        <w:rPr>
          <w:rFonts w:asciiTheme="minorHAnsi" w:hAnsiTheme="minorHAnsi"/>
          <w:color w:val="auto"/>
          <w:sz w:val="20"/>
          <w:szCs w:val="20"/>
          <w:lang w:val="sr-Latn-CS"/>
        </w:rPr>
        <w:t xml:space="preserve"> идентификова</w:t>
      </w:r>
      <w:r w:rsidRPr="0075475E">
        <w:rPr>
          <w:rFonts w:asciiTheme="minorHAnsi" w:hAnsiTheme="minorHAnsi"/>
          <w:color w:val="auto"/>
          <w:sz w:val="20"/>
          <w:szCs w:val="20"/>
          <w:lang w:val="sr-Cyrl-BA"/>
        </w:rPr>
        <w:t>не</w:t>
      </w:r>
      <w:r w:rsidRPr="0075475E">
        <w:rPr>
          <w:rFonts w:asciiTheme="minorHAnsi" w:hAnsiTheme="minorHAnsi"/>
          <w:color w:val="auto"/>
          <w:sz w:val="20"/>
          <w:szCs w:val="20"/>
          <w:lang w:val="sr-Latn-CS"/>
        </w:rPr>
        <w:t xml:space="preserve"> неправилности у вези са вредновањем </w:t>
      </w:r>
      <w:r w:rsidRPr="0075475E">
        <w:rPr>
          <w:rFonts w:asciiTheme="minorHAnsi" w:hAnsiTheme="minorHAnsi"/>
          <w:color w:val="auto"/>
          <w:sz w:val="20"/>
          <w:szCs w:val="20"/>
          <w:lang w:val="sr-Cyrl-BA"/>
        </w:rPr>
        <w:t>„</w:t>
      </w:r>
      <w:r w:rsidRPr="0075475E">
        <w:rPr>
          <w:rFonts w:asciiTheme="minorHAnsi" w:hAnsiTheme="minorHAnsi"/>
          <w:color w:val="auto"/>
          <w:sz w:val="20"/>
          <w:szCs w:val="20"/>
          <w:lang w:val="sr-Latn-CS"/>
        </w:rPr>
        <w:t>Осталих пласмана у домаћој валути</w:t>
      </w:r>
      <w:r w:rsidRPr="0075475E">
        <w:rPr>
          <w:rFonts w:asciiTheme="minorHAnsi" w:hAnsiTheme="minorHAnsi"/>
          <w:color w:val="auto"/>
          <w:sz w:val="20"/>
          <w:szCs w:val="20"/>
          <w:lang w:val="sr-Cyrl-BA"/>
        </w:rPr>
        <w:t>“</w:t>
      </w:r>
      <w:r w:rsidRPr="0075475E">
        <w:rPr>
          <w:rFonts w:asciiTheme="minorHAnsi" w:hAnsiTheme="minorHAnsi"/>
          <w:color w:val="auto"/>
          <w:sz w:val="20"/>
          <w:szCs w:val="20"/>
          <w:lang w:val="sr-Latn-CS"/>
        </w:rPr>
        <w:t xml:space="preserve"> и података објелодањених у</w:t>
      </w:r>
      <w:r w:rsidR="00AF5676" w:rsidRPr="0075475E">
        <w:rPr>
          <w:rFonts w:asciiTheme="minorHAnsi" w:hAnsiTheme="minorHAnsi"/>
          <w:color w:val="auto"/>
          <w:sz w:val="20"/>
          <w:szCs w:val="20"/>
          <w:lang w:val="sr-Latn-CS"/>
        </w:rPr>
        <w:t>з Финансијске извјештаје за 202</w:t>
      </w:r>
      <w:r w:rsidR="00AF5676" w:rsidRPr="0075475E">
        <w:rPr>
          <w:rFonts w:asciiTheme="minorHAnsi" w:hAnsiTheme="minorHAnsi"/>
          <w:color w:val="auto"/>
          <w:sz w:val="20"/>
          <w:szCs w:val="20"/>
          <w:lang w:val="sr-Cyrl-RS"/>
        </w:rPr>
        <w:t>3</w:t>
      </w:r>
      <w:r w:rsidRPr="0075475E">
        <w:rPr>
          <w:rFonts w:asciiTheme="minorHAnsi" w:hAnsiTheme="minorHAnsi"/>
          <w:color w:val="auto"/>
          <w:sz w:val="20"/>
          <w:szCs w:val="20"/>
          <w:lang w:val="sr-Latn-CS"/>
        </w:rPr>
        <w:t>.</w:t>
      </w:r>
      <w:r w:rsidR="00AF5676" w:rsidRPr="0075475E">
        <w:rPr>
          <w:rFonts w:asciiTheme="minorHAnsi" w:hAnsiTheme="minorHAnsi"/>
          <w:color w:val="auto"/>
          <w:sz w:val="20"/>
          <w:szCs w:val="20"/>
          <w:lang w:val="sr-Cyrl-RS"/>
        </w:rPr>
        <w:t xml:space="preserve"> </w:t>
      </w:r>
      <w:r w:rsidRPr="0075475E">
        <w:rPr>
          <w:rFonts w:asciiTheme="minorHAnsi" w:hAnsiTheme="minorHAnsi"/>
          <w:color w:val="auto"/>
          <w:sz w:val="20"/>
          <w:szCs w:val="20"/>
          <w:lang w:val="sr-Latn-CS"/>
        </w:rPr>
        <w:t>годину</w:t>
      </w:r>
      <w:r w:rsidR="00AF5676" w:rsidRPr="0075475E">
        <w:rPr>
          <w:rFonts w:asciiTheme="minorHAnsi" w:hAnsiTheme="minorHAnsi"/>
          <w:color w:val="auto"/>
          <w:sz w:val="20"/>
          <w:szCs w:val="20"/>
          <w:lang w:val="sr-Cyrl-RS"/>
        </w:rPr>
        <w:t xml:space="preserve">. </w:t>
      </w:r>
      <w:r w:rsidRPr="0075475E">
        <w:rPr>
          <w:rFonts w:asciiTheme="minorHAnsi" w:hAnsiTheme="minorHAnsi"/>
          <w:color w:val="auto"/>
          <w:sz w:val="20"/>
          <w:szCs w:val="20"/>
          <w:lang w:val="sr-Latn-CS"/>
        </w:rPr>
        <w:t>У</w:t>
      </w:r>
      <w:r w:rsidR="00AF5676" w:rsidRPr="0075475E">
        <w:rPr>
          <w:rFonts w:asciiTheme="minorHAnsi" w:hAnsiTheme="minorHAnsi"/>
          <w:color w:val="auto"/>
          <w:sz w:val="20"/>
          <w:szCs w:val="20"/>
          <w:lang w:val="sr-Latn-CS"/>
        </w:rPr>
        <w:t xml:space="preserve"> билансу стања на дан 31.12.202</w:t>
      </w:r>
      <w:r w:rsidR="00AF5676" w:rsidRPr="0075475E">
        <w:rPr>
          <w:rFonts w:asciiTheme="minorHAnsi" w:hAnsiTheme="minorHAnsi"/>
          <w:color w:val="auto"/>
          <w:sz w:val="20"/>
          <w:szCs w:val="20"/>
          <w:lang w:val="sr-Cyrl-RS"/>
        </w:rPr>
        <w:t>3</w:t>
      </w:r>
      <w:r w:rsidRPr="0075475E">
        <w:rPr>
          <w:rFonts w:asciiTheme="minorHAnsi" w:hAnsiTheme="minorHAnsi"/>
          <w:color w:val="auto"/>
          <w:sz w:val="20"/>
          <w:szCs w:val="20"/>
          <w:lang w:val="sr-Latn-CS"/>
        </w:rPr>
        <w:t>.</w:t>
      </w:r>
      <w:r w:rsidR="00AF5676" w:rsidRPr="0075475E">
        <w:rPr>
          <w:rFonts w:asciiTheme="minorHAnsi" w:hAnsiTheme="minorHAnsi"/>
          <w:color w:val="auto"/>
          <w:sz w:val="20"/>
          <w:szCs w:val="20"/>
          <w:lang w:val="sr-Cyrl-RS"/>
        </w:rPr>
        <w:t xml:space="preserve"> </w:t>
      </w:r>
      <w:r w:rsidRPr="0075475E">
        <w:rPr>
          <w:rFonts w:asciiTheme="minorHAnsi" w:hAnsiTheme="minorHAnsi"/>
          <w:color w:val="auto"/>
          <w:sz w:val="20"/>
          <w:szCs w:val="20"/>
          <w:lang w:val="sr-Latn-CS"/>
        </w:rPr>
        <w:t xml:space="preserve">године исказана је вриједност </w:t>
      </w:r>
      <w:r w:rsidR="00AF5676" w:rsidRPr="0075475E">
        <w:rPr>
          <w:rFonts w:asciiTheme="minorHAnsi" w:hAnsiTheme="minorHAnsi"/>
          <w:color w:val="auto"/>
          <w:sz w:val="20"/>
          <w:szCs w:val="20"/>
          <w:lang w:val="sr-Cyrl-RS"/>
        </w:rPr>
        <w:t xml:space="preserve">ових пласмана у </w:t>
      </w:r>
      <w:r w:rsidRPr="0075475E">
        <w:rPr>
          <w:rFonts w:asciiTheme="minorHAnsi" w:hAnsiTheme="minorHAnsi"/>
          <w:color w:val="auto"/>
          <w:sz w:val="20"/>
          <w:szCs w:val="20"/>
          <w:lang w:val="sr-Latn-CS"/>
        </w:rPr>
        <w:t xml:space="preserve">бруто износу </w:t>
      </w:r>
      <w:r w:rsidR="00AF5676" w:rsidRPr="0075475E">
        <w:rPr>
          <w:rFonts w:asciiTheme="minorHAnsi" w:hAnsiTheme="minorHAnsi"/>
          <w:color w:val="auto"/>
          <w:sz w:val="20"/>
          <w:szCs w:val="20"/>
          <w:lang w:val="sr-Cyrl-RS"/>
        </w:rPr>
        <w:t xml:space="preserve">од </w:t>
      </w:r>
      <w:r w:rsidR="0075475E" w:rsidRPr="0075475E">
        <w:rPr>
          <w:rFonts w:asciiTheme="minorHAnsi" w:hAnsiTheme="minorHAnsi"/>
          <w:color w:val="auto"/>
          <w:sz w:val="20"/>
          <w:szCs w:val="20"/>
          <w:lang w:val="sr-Latn-CS"/>
        </w:rPr>
        <w:t>10.938.393</w:t>
      </w:r>
      <w:r w:rsidR="0075475E" w:rsidRPr="0075475E">
        <w:rPr>
          <w:rFonts w:asciiTheme="minorHAnsi" w:hAnsiTheme="minorHAnsi"/>
          <w:color w:val="auto"/>
          <w:sz w:val="20"/>
          <w:szCs w:val="20"/>
          <w:lang w:val="sr-Cyrl-RS"/>
        </w:rPr>
        <w:t xml:space="preserve">,28 </w:t>
      </w:r>
      <w:r w:rsidRPr="0075475E">
        <w:rPr>
          <w:rFonts w:asciiTheme="minorHAnsi" w:hAnsiTheme="minorHAnsi"/>
          <w:color w:val="auto"/>
          <w:sz w:val="20"/>
          <w:szCs w:val="20"/>
          <w:lang w:val="sr-Latn-CS"/>
        </w:rPr>
        <w:t xml:space="preserve">КМ, исправка вриједности </w:t>
      </w:r>
      <w:r w:rsidR="00AF5676" w:rsidRPr="0075475E">
        <w:rPr>
          <w:rFonts w:asciiTheme="minorHAnsi" w:hAnsiTheme="minorHAnsi"/>
          <w:color w:val="auto"/>
          <w:sz w:val="20"/>
          <w:szCs w:val="20"/>
          <w:lang w:val="sr-Cyrl-RS"/>
        </w:rPr>
        <w:t>5.207.564,89</w:t>
      </w:r>
      <w:r w:rsidRPr="0075475E">
        <w:rPr>
          <w:rFonts w:asciiTheme="minorHAnsi" w:hAnsiTheme="minorHAnsi"/>
          <w:color w:val="auto"/>
          <w:sz w:val="20"/>
          <w:szCs w:val="20"/>
          <w:lang w:val="sr-Latn-CS"/>
        </w:rPr>
        <w:t xml:space="preserve"> КМ и нето вриједност </w:t>
      </w:r>
      <w:r w:rsidR="0075475E">
        <w:rPr>
          <w:rFonts w:asciiTheme="minorHAnsi" w:hAnsiTheme="minorHAnsi"/>
          <w:color w:val="auto"/>
          <w:sz w:val="20"/>
          <w:szCs w:val="20"/>
          <w:lang w:val="sr-Cyrl-RS"/>
        </w:rPr>
        <w:t xml:space="preserve">5.730.828,00 </w:t>
      </w:r>
      <w:r w:rsidR="0075475E" w:rsidRPr="0075475E">
        <w:rPr>
          <w:rFonts w:asciiTheme="minorHAnsi" w:hAnsiTheme="minorHAnsi"/>
          <w:color w:val="auto"/>
          <w:sz w:val="20"/>
          <w:szCs w:val="20"/>
          <w:lang w:val="sr-Cyrl-RS"/>
        </w:rPr>
        <w:t>КМ.</w:t>
      </w:r>
      <w:r w:rsidR="0075475E" w:rsidRPr="0075475E">
        <w:rPr>
          <w:rFonts w:asciiTheme="minorHAnsi" w:hAnsiTheme="minorHAnsi"/>
          <w:color w:val="auto"/>
          <w:sz w:val="20"/>
          <w:szCs w:val="20"/>
          <w:lang w:val="sr-Latn-CS"/>
        </w:rPr>
        <w:t xml:space="preserve"> </w:t>
      </w:r>
      <w:r w:rsidRPr="0075475E">
        <w:rPr>
          <w:rFonts w:asciiTheme="minorHAnsi" w:hAnsiTheme="minorHAnsi"/>
          <w:color w:val="auto"/>
          <w:sz w:val="20"/>
          <w:szCs w:val="20"/>
          <w:lang w:val="sr-Latn-CS"/>
        </w:rPr>
        <w:t xml:space="preserve"> Наведени износи се односе на потраживања Фонда од Бобар банке а.д.-у </w:t>
      </w:r>
      <w:r w:rsidR="00EA7186">
        <w:rPr>
          <w:rFonts w:asciiTheme="minorHAnsi" w:hAnsiTheme="minorHAnsi"/>
          <w:color w:val="auto"/>
          <w:sz w:val="20"/>
          <w:szCs w:val="20"/>
          <w:lang w:val="sr-Cyrl-RS"/>
        </w:rPr>
        <w:t>ликвидацији</w:t>
      </w:r>
      <w:r w:rsidR="009B6FAB" w:rsidRPr="0075475E">
        <w:rPr>
          <w:rFonts w:asciiTheme="minorHAnsi" w:hAnsiTheme="minorHAnsi"/>
          <w:color w:val="auto"/>
          <w:sz w:val="20"/>
          <w:szCs w:val="20"/>
          <w:lang w:val="sr-Latn-CS"/>
        </w:rPr>
        <w:t xml:space="preserve"> и Банке Српске а.д.-у стечају.</w:t>
      </w:r>
      <w:r w:rsidR="0075475E" w:rsidRPr="0075475E">
        <w:rPr>
          <w:rFonts w:asciiTheme="minorHAnsi" w:hAnsiTheme="minorHAnsi"/>
          <w:color w:val="auto"/>
          <w:sz w:val="20"/>
          <w:szCs w:val="20"/>
          <w:lang w:val="sr-Cyrl-RS"/>
        </w:rPr>
        <w:t xml:space="preserve"> </w:t>
      </w:r>
      <w:r w:rsidRPr="0075475E">
        <w:rPr>
          <w:rFonts w:asciiTheme="minorHAnsi" w:hAnsiTheme="minorHAnsi"/>
          <w:color w:val="auto"/>
          <w:sz w:val="20"/>
          <w:szCs w:val="20"/>
          <w:lang w:val="sr-Latn-CS"/>
        </w:rPr>
        <w:t>За потребе израде финансијских извјештаја з</w:t>
      </w:r>
      <w:r w:rsidR="0075475E" w:rsidRPr="0075475E">
        <w:rPr>
          <w:rFonts w:asciiTheme="minorHAnsi" w:hAnsiTheme="minorHAnsi"/>
          <w:color w:val="auto"/>
          <w:sz w:val="20"/>
          <w:szCs w:val="20"/>
          <w:lang w:val="sr-Latn-CS"/>
        </w:rPr>
        <w:t>а 202</w:t>
      </w:r>
      <w:r w:rsidR="0075475E" w:rsidRPr="0075475E">
        <w:rPr>
          <w:rFonts w:asciiTheme="minorHAnsi" w:hAnsiTheme="minorHAnsi"/>
          <w:color w:val="auto"/>
          <w:sz w:val="20"/>
          <w:szCs w:val="20"/>
          <w:lang w:val="sr-Cyrl-RS"/>
        </w:rPr>
        <w:t>3</w:t>
      </w:r>
      <w:r w:rsidRPr="0075475E">
        <w:rPr>
          <w:rFonts w:asciiTheme="minorHAnsi" w:hAnsiTheme="minorHAnsi"/>
          <w:color w:val="auto"/>
          <w:sz w:val="20"/>
          <w:szCs w:val="20"/>
          <w:lang w:val="sr-Latn-CS"/>
        </w:rPr>
        <w:t>.</w:t>
      </w:r>
      <w:r w:rsidR="0075475E" w:rsidRPr="0075475E">
        <w:rPr>
          <w:rFonts w:asciiTheme="minorHAnsi" w:hAnsiTheme="minorHAnsi"/>
          <w:color w:val="auto"/>
          <w:sz w:val="20"/>
          <w:szCs w:val="20"/>
          <w:lang w:val="sr-Cyrl-RS"/>
        </w:rPr>
        <w:t xml:space="preserve"> </w:t>
      </w:r>
      <w:r w:rsidRPr="0075475E">
        <w:rPr>
          <w:rFonts w:asciiTheme="minorHAnsi" w:hAnsiTheme="minorHAnsi"/>
          <w:color w:val="auto"/>
          <w:sz w:val="20"/>
          <w:szCs w:val="20"/>
          <w:lang w:val="sr-Latn-CS"/>
        </w:rPr>
        <w:t>годину ангажован је овлашћени процјењивач (консултант) који је изв</w:t>
      </w:r>
      <w:r w:rsidR="0075475E" w:rsidRPr="0075475E">
        <w:rPr>
          <w:rFonts w:asciiTheme="minorHAnsi" w:hAnsiTheme="minorHAnsi"/>
          <w:color w:val="auto"/>
          <w:sz w:val="20"/>
          <w:szCs w:val="20"/>
          <w:lang w:val="sr-Latn-CS"/>
        </w:rPr>
        <w:t>ршио процјену потраживања од</w:t>
      </w:r>
      <w:r w:rsidR="009B6FAB" w:rsidRPr="0075475E">
        <w:rPr>
          <w:rFonts w:asciiTheme="minorHAnsi" w:hAnsiTheme="minorHAnsi"/>
          <w:color w:val="auto"/>
          <w:sz w:val="20"/>
          <w:szCs w:val="20"/>
          <w:lang w:val="sr-Latn-CS"/>
        </w:rPr>
        <w:t xml:space="preserve"> поменутих банака у стечају.</w:t>
      </w:r>
      <w:r w:rsidR="0075475E" w:rsidRPr="0075475E">
        <w:rPr>
          <w:rFonts w:asciiTheme="minorHAnsi" w:hAnsiTheme="minorHAnsi"/>
          <w:color w:val="auto"/>
          <w:sz w:val="20"/>
          <w:szCs w:val="20"/>
          <w:lang w:val="sr-Cyrl-RS"/>
        </w:rPr>
        <w:t xml:space="preserve"> </w:t>
      </w:r>
    </w:p>
    <w:p w14:paraId="1CA4FE8D" w14:textId="77777777" w:rsidR="00F6210D" w:rsidRDefault="00F6210D" w:rsidP="009B6FAB">
      <w:pPr>
        <w:rPr>
          <w:rFonts w:asciiTheme="minorHAnsi" w:hAnsiTheme="minorHAnsi"/>
          <w:color w:val="auto"/>
          <w:sz w:val="20"/>
          <w:szCs w:val="20"/>
          <w:lang w:val="sr-Cyrl-RS"/>
        </w:rPr>
      </w:pPr>
    </w:p>
    <w:p w14:paraId="00C628CA" w14:textId="77777777" w:rsidR="001538EF" w:rsidRPr="005D3925" w:rsidRDefault="001538EF" w:rsidP="009B6FAB">
      <w:pPr>
        <w:rPr>
          <w:rFonts w:asciiTheme="minorHAnsi" w:hAnsiTheme="minorHAnsi"/>
          <w:color w:val="auto"/>
          <w:sz w:val="20"/>
          <w:szCs w:val="20"/>
          <w:lang w:val="sr-Cyrl-RS"/>
        </w:rPr>
      </w:pPr>
      <w:r w:rsidRPr="0075475E">
        <w:rPr>
          <w:rFonts w:asciiTheme="minorHAnsi" w:hAnsiTheme="minorHAnsi"/>
          <w:color w:val="auto"/>
          <w:sz w:val="20"/>
          <w:szCs w:val="20"/>
          <w:lang w:val="sr-Latn-CS"/>
        </w:rPr>
        <w:t>Према процјени консултанта</w:t>
      </w:r>
      <w:r w:rsidR="0075475E" w:rsidRPr="0075475E">
        <w:rPr>
          <w:rFonts w:asciiTheme="minorHAnsi" w:hAnsiTheme="minorHAnsi"/>
          <w:color w:val="auto"/>
          <w:sz w:val="20"/>
          <w:szCs w:val="20"/>
          <w:lang w:val="sr-Cyrl-RS"/>
        </w:rPr>
        <w:t>,</w:t>
      </w:r>
      <w:r w:rsidRPr="0075475E">
        <w:rPr>
          <w:rFonts w:asciiTheme="minorHAnsi" w:hAnsiTheme="minorHAnsi"/>
          <w:color w:val="auto"/>
          <w:sz w:val="20"/>
          <w:szCs w:val="20"/>
          <w:lang w:val="sr-Latn-CS"/>
        </w:rPr>
        <w:t xml:space="preserve"> вриједност</w:t>
      </w:r>
      <w:r w:rsidR="0075475E" w:rsidRPr="0075475E">
        <w:rPr>
          <w:rFonts w:asciiTheme="minorHAnsi" w:hAnsiTheme="minorHAnsi"/>
          <w:color w:val="auto"/>
          <w:sz w:val="20"/>
          <w:szCs w:val="20"/>
          <w:lang w:val="sr-Cyrl-RS"/>
        </w:rPr>
        <w:t>и</w:t>
      </w:r>
      <w:r w:rsidRPr="0075475E">
        <w:rPr>
          <w:rFonts w:asciiTheme="minorHAnsi" w:hAnsiTheme="minorHAnsi"/>
          <w:color w:val="auto"/>
          <w:sz w:val="20"/>
          <w:szCs w:val="20"/>
          <w:lang w:val="sr-Latn-CS"/>
        </w:rPr>
        <w:t xml:space="preserve"> потраживањ</w:t>
      </w:r>
      <w:r w:rsidRPr="0075475E">
        <w:rPr>
          <w:rFonts w:asciiTheme="minorHAnsi" w:hAnsiTheme="minorHAnsi"/>
          <w:color w:val="auto"/>
          <w:sz w:val="20"/>
          <w:szCs w:val="20"/>
          <w:lang w:val="sr-Cyrl-BA"/>
        </w:rPr>
        <w:t>а</w:t>
      </w:r>
      <w:r w:rsidRPr="0075475E">
        <w:rPr>
          <w:rFonts w:asciiTheme="minorHAnsi" w:hAnsiTheme="minorHAnsi"/>
          <w:color w:val="auto"/>
          <w:sz w:val="20"/>
          <w:szCs w:val="20"/>
          <w:lang w:val="sr-Latn-CS"/>
        </w:rPr>
        <w:t xml:space="preserve"> која су била пр</w:t>
      </w:r>
      <w:r w:rsidR="0075475E" w:rsidRPr="0075475E">
        <w:rPr>
          <w:rFonts w:asciiTheme="minorHAnsi" w:hAnsiTheme="minorHAnsi"/>
          <w:color w:val="auto"/>
          <w:sz w:val="20"/>
          <w:szCs w:val="20"/>
          <w:lang w:val="sr-Latn-CS"/>
        </w:rPr>
        <w:t xml:space="preserve">едмет процјене на дан </w:t>
      </w:r>
      <w:r w:rsidR="0075475E" w:rsidRPr="005D3925">
        <w:rPr>
          <w:rFonts w:asciiTheme="minorHAnsi" w:hAnsiTheme="minorHAnsi"/>
          <w:color w:val="auto"/>
          <w:sz w:val="20"/>
          <w:szCs w:val="20"/>
          <w:lang w:val="sr-Latn-CS"/>
        </w:rPr>
        <w:t>31.12.202</w:t>
      </w:r>
      <w:r w:rsidR="0075475E" w:rsidRPr="005D3925">
        <w:rPr>
          <w:rFonts w:asciiTheme="minorHAnsi" w:hAnsiTheme="minorHAnsi"/>
          <w:color w:val="auto"/>
          <w:sz w:val="20"/>
          <w:szCs w:val="20"/>
          <w:lang w:val="sr-Cyrl-RS"/>
        </w:rPr>
        <w:t>3</w:t>
      </w:r>
      <w:r w:rsidRPr="005D3925">
        <w:rPr>
          <w:rFonts w:asciiTheme="minorHAnsi" w:hAnsiTheme="minorHAnsi"/>
          <w:color w:val="auto"/>
          <w:sz w:val="20"/>
          <w:szCs w:val="20"/>
          <w:lang w:val="sr-Latn-CS"/>
        </w:rPr>
        <w:t>.</w:t>
      </w:r>
      <w:r w:rsidR="0075475E" w:rsidRPr="005D3925">
        <w:rPr>
          <w:rFonts w:asciiTheme="minorHAnsi" w:hAnsiTheme="minorHAnsi"/>
          <w:color w:val="auto"/>
          <w:sz w:val="20"/>
          <w:szCs w:val="20"/>
          <w:lang w:val="sr-Cyrl-RS"/>
        </w:rPr>
        <w:t xml:space="preserve"> </w:t>
      </w:r>
      <w:r w:rsidRPr="005D3925">
        <w:rPr>
          <w:rFonts w:asciiTheme="minorHAnsi" w:hAnsiTheme="minorHAnsi"/>
          <w:color w:val="auto"/>
          <w:sz w:val="20"/>
          <w:szCs w:val="20"/>
          <w:lang w:val="sr-Latn-CS"/>
        </w:rPr>
        <w:t>године  износе:</w:t>
      </w:r>
    </w:p>
    <w:p w14:paraId="4D177E63" w14:textId="77777777" w:rsidR="001538EF" w:rsidRPr="005D3925" w:rsidRDefault="001538EF" w:rsidP="001538EF">
      <w:pPr>
        <w:pStyle w:val="ListParagraph"/>
        <w:numPr>
          <w:ilvl w:val="0"/>
          <w:numId w:val="19"/>
        </w:numPr>
        <w:tabs>
          <w:tab w:val="left" w:pos="1068"/>
        </w:tabs>
        <w:ind w:left="1428" w:right="-142" w:hanging="719"/>
        <w:rPr>
          <w:rFonts w:asciiTheme="minorHAnsi" w:hAnsiTheme="minorHAnsi"/>
          <w:color w:val="auto"/>
          <w:sz w:val="20"/>
          <w:szCs w:val="20"/>
          <w:lang w:val="sr-Latn-CS"/>
        </w:rPr>
      </w:pPr>
      <w:r w:rsidRPr="005D3925">
        <w:rPr>
          <w:rFonts w:asciiTheme="minorHAnsi" w:hAnsiTheme="minorHAnsi"/>
          <w:color w:val="auto"/>
          <w:sz w:val="20"/>
          <w:szCs w:val="20"/>
          <w:lang w:val="sr-Latn-CS"/>
        </w:rPr>
        <w:t xml:space="preserve">Бобар банка а.д.-у </w:t>
      </w:r>
      <w:r w:rsidR="00425136" w:rsidRPr="005D3925">
        <w:rPr>
          <w:rFonts w:asciiTheme="minorHAnsi" w:hAnsiTheme="minorHAnsi"/>
          <w:color w:val="auto"/>
          <w:sz w:val="20"/>
          <w:szCs w:val="20"/>
          <w:lang w:val="sr-Cyrl-RS"/>
        </w:rPr>
        <w:t>ликвидацији</w:t>
      </w:r>
    </w:p>
    <w:p w14:paraId="19586DDE"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бруто износ</w:t>
      </w:r>
      <w:r w:rsidRPr="005D3925">
        <w:rPr>
          <w:rFonts w:asciiTheme="minorHAnsi" w:hAnsiTheme="minorHAnsi"/>
          <w:color w:val="auto"/>
          <w:sz w:val="20"/>
          <w:szCs w:val="20"/>
          <w:lang w:val="sr-Latn-CS"/>
        </w:rPr>
        <w:tab/>
        <w:t>7.438.393</w:t>
      </w:r>
      <w:r w:rsidR="00993BBD" w:rsidRPr="005D3925">
        <w:rPr>
          <w:rFonts w:asciiTheme="minorHAnsi" w:hAnsiTheme="minorHAnsi"/>
          <w:color w:val="auto"/>
          <w:sz w:val="20"/>
          <w:szCs w:val="20"/>
          <w:lang w:val="sr-Cyrl-RS"/>
        </w:rPr>
        <w:t>,28</w:t>
      </w:r>
      <w:r w:rsidRPr="005D3925">
        <w:rPr>
          <w:rFonts w:asciiTheme="minorHAnsi" w:hAnsiTheme="minorHAnsi"/>
          <w:color w:val="auto"/>
          <w:sz w:val="20"/>
          <w:szCs w:val="20"/>
          <w:lang w:val="sr-Latn-CS"/>
        </w:rPr>
        <w:t xml:space="preserve"> КМ</w:t>
      </w:r>
    </w:p>
    <w:p w14:paraId="707B8AAD"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исправка вриједности</w:t>
      </w:r>
      <w:r w:rsidRPr="005D3925">
        <w:rPr>
          <w:rFonts w:asciiTheme="minorHAnsi" w:hAnsiTheme="minorHAnsi"/>
          <w:color w:val="auto"/>
          <w:sz w:val="20"/>
          <w:szCs w:val="20"/>
          <w:lang w:val="sr-Latn-CS"/>
        </w:rPr>
        <w:tab/>
      </w:r>
      <w:r w:rsidR="00EA7186" w:rsidRPr="005D3925">
        <w:rPr>
          <w:rFonts w:asciiTheme="minorHAnsi" w:hAnsiTheme="minorHAnsi"/>
          <w:color w:val="auto"/>
          <w:sz w:val="20"/>
          <w:szCs w:val="20"/>
          <w:lang w:val="sr-Cyrl-RS"/>
        </w:rPr>
        <w:t>3.748.</w:t>
      </w:r>
      <w:r w:rsidR="005D3925" w:rsidRPr="005D3925">
        <w:rPr>
          <w:rFonts w:asciiTheme="minorHAnsi" w:hAnsiTheme="minorHAnsi"/>
          <w:color w:val="auto"/>
          <w:sz w:val="20"/>
          <w:szCs w:val="20"/>
          <w:lang w:val="sr-Cyrl-RS"/>
        </w:rPr>
        <w:t>796,87</w:t>
      </w:r>
      <w:r w:rsidR="00EA7186" w:rsidRPr="005D3925">
        <w:rPr>
          <w:rFonts w:asciiTheme="minorHAnsi" w:hAnsiTheme="minorHAnsi"/>
          <w:color w:val="auto"/>
          <w:sz w:val="20"/>
          <w:szCs w:val="20"/>
          <w:lang w:val="sr-Cyrl-RS"/>
        </w:rPr>
        <w:t xml:space="preserve"> </w:t>
      </w:r>
      <w:r w:rsidR="005D3925" w:rsidRPr="005D3925">
        <w:rPr>
          <w:rFonts w:asciiTheme="minorHAnsi" w:hAnsiTheme="minorHAnsi"/>
          <w:color w:val="auto"/>
          <w:sz w:val="20"/>
          <w:szCs w:val="20"/>
          <w:lang w:val="sr-Cyrl-RS"/>
        </w:rPr>
        <w:t>КМ</w:t>
      </w:r>
    </w:p>
    <w:p w14:paraId="4E84156B" w14:textId="77777777" w:rsidR="001538EF" w:rsidRPr="00F6210D"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нето вриједност</w:t>
      </w:r>
      <w:r w:rsidRPr="005D3925">
        <w:rPr>
          <w:rFonts w:asciiTheme="minorHAnsi" w:hAnsiTheme="minorHAnsi"/>
          <w:color w:val="auto"/>
          <w:sz w:val="20"/>
          <w:szCs w:val="20"/>
          <w:lang w:val="sr-Latn-CS"/>
        </w:rPr>
        <w:tab/>
      </w:r>
      <w:r w:rsidR="00EA7186" w:rsidRPr="005D3925">
        <w:rPr>
          <w:rFonts w:asciiTheme="minorHAnsi" w:hAnsiTheme="minorHAnsi"/>
          <w:color w:val="auto"/>
          <w:sz w:val="20"/>
          <w:szCs w:val="20"/>
          <w:lang w:val="sr-Cyrl-RS"/>
        </w:rPr>
        <w:t>3.689.</w:t>
      </w:r>
      <w:r w:rsidR="00993BBD" w:rsidRPr="005D3925">
        <w:rPr>
          <w:rFonts w:asciiTheme="minorHAnsi" w:hAnsiTheme="minorHAnsi"/>
          <w:color w:val="auto"/>
          <w:sz w:val="20"/>
          <w:szCs w:val="20"/>
          <w:lang w:val="sr-Cyrl-RS"/>
        </w:rPr>
        <w:t>596</w:t>
      </w:r>
      <w:r w:rsidR="00EA7186" w:rsidRPr="005D3925">
        <w:rPr>
          <w:rFonts w:asciiTheme="minorHAnsi" w:hAnsiTheme="minorHAnsi"/>
          <w:color w:val="auto"/>
          <w:sz w:val="20"/>
          <w:szCs w:val="20"/>
          <w:lang w:val="sr-Cyrl-RS"/>
        </w:rPr>
        <w:t>,</w:t>
      </w:r>
      <w:r w:rsidR="005D3925" w:rsidRPr="005D3925">
        <w:rPr>
          <w:rFonts w:asciiTheme="minorHAnsi" w:hAnsiTheme="minorHAnsi"/>
          <w:color w:val="auto"/>
          <w:sz w:val="20"/>
          <w:szCs w:val="20"/>
          <w:lang w:val="sr-Cyrl-RS"/>
        </w:rPr>
        <w:t>41</w:t>
      </w:r>
      <w:r w:rsidR="00EA7186" w:rsidRPr="005D3925">
        <w:rPr>
          <w:rFonts w:asciiTheme="minorHAnsi" w:hAnsiTheme="minorHAnsi"/>
          <w:color w:val="auto"/>
          <w:sz w:val="20"/>
          <w:szCs w:val="20"/>
          <w:lang w:val="sr-Cyrl-RS"/>
        </w:rPr>
        <w:t xml:space="preserve"> КМ</w:t>
      </w:r>
    </w:p>
    <w:p w14:paraId="3C368C67" w14:textId="77777777" w:rsidR="00F6210D" w:rsidRPr="005D3925" w:rsidRDefault="00F6210D" w:rsidP="00F6210D">
      <w:pPr>
        <w:pStyle w:val="ListParagraph"/>
        <w:tabs>
          <w:tab w:val="right" w:leader="dot" w:pos="6804"/>
        </w:tabs>
        <w:ind w:left="1418" w:right="-142"/>
        <w:rPr>
          <w:rFonts w:asciiTheme="minorHAnsi" w:hAnsiTheme="minorHAnsi"/>
          <w:color w:val="auto"/>
          <w:sz w:val="20"/>
          <w:szCs w:val="20"/>
          <w:lang w:val="sr-Latn-CS"/>
        </w:rPr>
      </w:pPr>
    </w:p>
    <w:p w14:paraId="13B51FCA" w14:textId="77777777" w:rsidR="005D3925" w:rsidRPr="005D3925" w:rsidRDefault="005D3925" w:rsidP="005D3925">
      <w:pPr>
        <w:tabs>
          <w:tab w:val="right" w:leader="dot" w:pos="6804"/>
        </w:tabs>
        <w:ind w:right="-142"/>
        <w:rPr>
          <w:rFonts w:asciiTheme="minorHAnsi" w:hAnsiTheme="minorHAnsi"/>
          <w:color w:val="auto"/>
          <w:sz w:val="20"/>
          <w:szCs w:val="20"/>
          <w:lang w:val="sr-Cyrl-RS"/>
        </w:rPr>
      </w:pPr>
      <w:r w:rsidRPr="005D3925">
        <w:rPr>
          <w:rFonts w:asciiTheme="minorHAnsi" w:hAnsiTheme="minorHAnsi"/>
          <w:color w:val="auto"/>
          <w:sz w:val="20"/>
          <w:szCs w:val="20"/>
          <w:lang w:val="sr-Cyrl-RS"/>
        </w:rPr>
        <w:t>У односу на 2022. годину, процијењена вриједност потраживања од Бобар банке а.д.-у ликвидацији је мања за 944.400,99 КМ и на дан 31.12.2023. године износи 3.689.596,41 КМ.</w:t>
      </w:r>
      <w:r>
        <w:rPr>
          <w:rFonts w:asciiTheme="minorHAnsi" w:hAnsiTheme="minorHAnsi"/>
          <w:color w:val="auto"/>
          <w:sz w:val="20"/>
          <w:szCs w:val="20"/>
          <w:lang w:val="sr-Cyrl-RS"/>
        </w:rPr>
        <w:t xml:space="preserve"> </w:t>
      </w:r>
    </w:p>
    <w:p w14:paraId="26915017" w14:textId="77777777" w:rsidR="001538EF" w:rsidRPr="005D3925" w:rsidRDefault="001538EF" w:rsidP="001538EF">
      <w:pPr>
        <w:pStyle w:val="ListParagraph"/>
        <w:numPr>
          <w:ilvl w:val="0"/>
          <w:numId w:val="19"/>
        </w:numPr>
        <w:tabs>
          <w:tab w:val="left" w:pos="1134"/>
        </w:tabs>
        <w:ind w:left="1428" w:right="-142" w:hanging="719"/>
        <w:rPr>
          <w:rFonts w:asciiTheme="minorHAnsi" w:hAnsiTheme="minorHAnsi"/>
          <w:color w:val="auto"/>
          <w:sz w:val="20"/>
          <w:szCs w:val="20"/>
          <w:lang w:val="sr-Latn-CS"/>
        </w:rPr>
      </w:pPr>
      <w:r w:rsidRPr="005D3925">
        <w:rPr>
          <w:rFonts w:asciiTheme="minorHAnsi" w:hAnsiTheme="minorHAnsi"/>
          <w:color w:val="auto"/>
          <w:sz w:val="20"/>
          <w:szCs w:val="20"/>
          <w:lang w:val="sr-Latn-CS"/>
        </w:rPr>
        <w:t>Банка Српске а.д.-у стечају</w:t>
      </w:r>
    </w:p>
    <w:p w14:paraId="2FBA55AD"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бруто износ</w:t>
      </w:r>
      <w:r w:rsidRPr="005D3925">
        <w:rPr>
          <w:rFonts w:asciiTheme="minorHAnsi" w:hAnsiTheme="minorHAnsi"/>
          <w:color w:val="auto"/>
          <w:sz w:val="20"/>
          <w:szCs w:val="20"/>
          <w:lang w:val="sr-Latn-CS"/>
        </w:rPr>
        <w:tab/>
        <w:t>3.571.740</w:t>
      </w:r>
      <w:r w:rsidR="00BD6792">
        <w:rPr>
          <w:rFonts w:asciiTheme="minorHAnsi" w:hAnsiTheme="minorHAnsi"/>
          <w:color w:val="auto"/>
          <w:sz w:val="20"/>
          <w:szCs w:val="20"/>
          <w:lang w:val="sr-Cyrl-RS"/>
        </w:rPr>
        <w:t>,00</w:t>
      </w:r>
      <w:r w:rsidRPr="005D3925">
        <w:rPr>
          <w:rFonts w:asciiTheme="minorHAnsi" w:hAnsiTheme="minorHAnsi"/>
          <w:color w:val="auto"/>
          <w:sz w:val="20"/>
          <w:szCs w:val="20"/>
          <w:lang w:val="sr-Latn-CS"/>
        </w:rPr>
        <w:t xml:space="preserve"> КМ</w:t>
      </w:r>
    </w:p>
    <w:p w14:paraId="1A75A717"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исправка вриједности</w:t>
      </w:r>
      <w:r w:rsidRPr="005D3925">
        <w:rPr>
          <w:rFonts w:asciiTheme="minorHAnsi" w:hAnsiTheme="minorHAnsi"/>
          <w:color w:val="auto"/>
          <w:sz w:val="20"/>
          <w:szCs w:val="20"/>
          <w:lang w:val="sr-Latn-CS"/>
        </w:rPr>
        <w:tab/>
      </w:r>
      <w:r w:rsidR="00EA7186" w:rsidRPr="005D3925">
        <w:rPr>
          <w:rFonts w:asciiTheme="minorHAnsi" w:hAnsiTheme="minorHAnsi"/>
          <w:color w:val="auto"/>
          <w:sz w:val="20"/>
          <w:szCs w:val="20"/>
          <w:lang w:val="sr-Cyrl-RS"/>
        </w:rPr>
        <w:t>1</w:t>
      </w:r>
      <w:r w:rsidR="00BD6792">
        <w:rPr>
          <w:rFonts w:asciiTheme="minorHAnsi" w:hAnsiTheme="minorHAnsi"/>
          <w:color w:val="auto"/>
          <w:sz w:val="20"/>
          <w:szCs w:val="20"/>
          <w:lang w:val="sr-Cyrl-RS"/>
        </w:rPr>
        <w:t>.488.668,31 КМ</w:t>
      </w:r>
    </w:p>
    <w:p w14:paraId="2E97DDA5" w14:textId="77777777" w:rsidR="001538EF" w:rsidRPr="00F6210D"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нето вриједност</w:t>
      </w:r>
      <w:r w:rsidRPr="005D3925">
        <w:rPr>
          <w:rFonts w:asciiTheme="minorHAnsi" w:hAnsiTheme="minorHAnsi"/>
          <w:color w:val="auto"/>
          <w:sz w:val="20"/>
          <w:szCs w:val="20"/>
          <w:lang w:val="sr-Latn-CS"/>
        </w:rPr>
        <w:tab/>
      </w:r>
      <w:r w:rsidR="0075475E" w:rsidRPr="005D3925">
        <w:rPr>
          <w:rFonts w:asciiTheme="minorHAnsi" w:hAnsiTheme="minorHAnsi"/>
          <w:color w:val="auto"/>
          <w:sz w:val="20"/>
          <w:szCs w:val="20"/>
          <w:lang w:val="sr-Cyrl-RS"/>
        </w:rPr>
        <w:t>2.083.071,69</w:t>
      </w:r>
      <w:r w:rsidRPr="005D3925">
        <w:rPr>
          <w:rFonts w:asciiTheme="minorHAnsi" w:hAnsiTheme="minorHAnsi"/>
          <w:color w:val="auto"/>
          <w:sz w:val="20"/>
          <w:szCs w:val="20"/>
          <w:lang w:val="sr-Latn-CS"/>
        </w:rPr>
        <w:t xml:space="preserve"> КМ</w:t>
      </w:r>
      <w:r w:rsidR="00EA7186" w:rsidRPr="005D3925">
        <w:rPr>
          <w:rFonts w:asciiTheme="minorHAnsi" w:hAnsiTheme="minorHAnsi"/>
          <w:color w:val="auto"/>
          <w:sz w:val="20"/>
          <w:szCs w:val="20"/>
          <w:lang w:val="sr-Cyrl-RS"/>
        </w:rPr>
        <w:t xml:space="preserve"> </w:t>
      </w:r>
    </w:p>
    <w:p w14:paraId="131ED6F0" w14:textId="77777777" w:rsidR="00F6210D" w:rsidRPr="005D3925" w:rsidRDefault="00F6210D" w:rsidP="00F6210D">
      <w:pPr>
        <w:pStyle w:val="ListParagraph"/>
        <w:tabs>
          <w:tab w:val="right" w:leader="dot" w:pos="6804"/>
        </w:tabs>
        <w:ind w:left="1418" w:right="-142"/>
        <w:rPr>
          <w:rFonts w:asciiTheme="minorHAnsi" w:hAnsiTheme="minorHAnsi"/>
          <w:color w:val="auto"/>
          <w:sz w:val="20"/>
          <w:szCs w:val="20"/>
          <w:lang w:val="sr-Latn-CS"/>
        </w:rPr>
      </w:pPr>
    </w:p>
    <w:p w14:paraId="2128806B" w14:textId="77777777" w:rsidR="005D3925" w:rsidRDefault="005D3925" w:rsidP="001538EF">
      <w:pPr>
        <w:rPr>
          <w:rFonts w:asciiTheme="minorHAnsi" w:hAnsiTheme="minorHAnsi"/>
          <w:color w:val="auto"/>
          <w:sz w:val="20"/>
          <w:szCs w:val="20"/>
          <w:lang w:val="sr-Cyrl-RS"/>
        </w:rPr>
      </w:pPr>
      <w:r w:rsidRPr="005D3925">
        <w:rPr>
          <w:rFonts w:asciiTheme="minorHAnsi" w:hAnsiTheme="minorHAnsi"/>
          <w:color w:val="auto"/>
          <w:sz w:val="20"/>
          <w:szCs w:val="20"/>
          <w:lang w:val="sr-Cyrl-RS"/>
        </w:rPr>
        <w:t>У односу на 2022. годину, процијењена вриједност потраживања од Б</w:t>
      </w:r>
      <w:r>
        <w:rPr>
          <w:rFonts w:asciiTheme="minorHAnsi" w:hAnsiTheme="minorHAnsi"/>
          <w:color w:val="auto"/>
          <w:sz w:val="20"/>
          <w:szCs w:val="20"/>
          <w:lang w:val="sr-Cyrl-RS"/>
        </w:rPr>
        <w:t>анке Српске а.д.-у стечају</w:t>
      </w:r>
      <w:r w:rsidRPr="005D3925">
        <w:rPr>
          <w:rFonts w:asciiTheme="minorHAnsi" w:hAnsiTheme="minorHAnsi"/>
          <w:color w:val="auto"/>
          <w:sz w:val="20"/>
          <w:szCs w:val="20"/>
          <w:lang w:val="sr-Cyrl-RS"/>
        </w:rPr>
        <w:t xml:space="preserve"> је мања за </w:t>
      </w:r>
      <w:r>
        <w:rPr>
          <w:rFonts w:asciiTheme="minorHAnsi" w:hAnsiTheme="minorHAnsi"/>
          <w:color w:val="auto"/>
          <w:sz w:val="20"/>
          <w:szCs w:val="20"/>
          <w:lang w:val="sr-Cyrl-RS"/>
        </w:rPr>
        <w:t>653.370,86</w:t>
      </w:r>
      <w:r w:rsidRPr="005D3925">
        <w:rPr>
          <w:rFonts w:asciiTheme="minorHAnsi" w:hAnsiTheme="minorHAnsi"/>
          <w:color w:val="auto"/>
          <w:sz w:val="20"/>
          <w:szCs w:val="20"/>
          <w:lang w:val="sr-Cyrl-RS"/>
        </w:rPr>
        <w:t xml:space="preserve"> КМ и на дан 31.12.2023. године износи </w:t>
      </w:r>
      <w:r>
        <w:rPr>
          <w:rFonts w:asciiTheme="minorHAnsi" w:hAnsiTheme="minorHAnsi"/>
          <w:color w:val="auto"/>
          <w:sz w:val="20"/>
          <w:szCs w:val="20"/>
          <w:lang w:val="sr-Cyrl-RS"/>
        </w:rPr>
        <w:t>2.083.071,69</w:t>
      </w:r>
      <w:r w:rsidRPr="005D3925">
        <w:rPr>
          <w:rFonts w:asciiTheme="minorHAnsi" w:hAnsiTheme="minorHAnsi"/>
          <w:color w:val="auto"/>
          <w:sz w:val="20"/>
          <w:szCs w:val="20"/>
          <w:lang w:val="sr-Cyrl-RS"/>
        </w:rPr>
        <w:t xml:space="preserve"> КМ.</w:t>
      </w:r>
      <w:r w:rsidR="009A753D">
        <w:rPr>
          <w:rFonts w:asciiTheme="minorHAnsi" w:hAnsiTheme="minorHAnsi"/>
          <w:color w:val="auto"/>
          <w:sz w:val="20"/>
          <w:szCs w:val="20"/>
          <w:lang w:val="sr-Cyrl-RS"/>
        </w:rPr>
        <w:t xml:space="preserve"> Укупна процијењена вриједност потраживања по оба основа је мања за 1.597.771,85 КМ у односу на 2022. годину, те су за наведени износ коригована бруто потраживања Фонда од двије наведене банке.</w:t>
      </w:r>
    </w:p>
    <w:p w14:paraId="29D34A6F" w14:textId="77777777" w:rsidR="00F6210D" w:rsidRDefault="00F6210D" w:rsidP="001538EF">
      <w:pPr>
        <w:rPr>
          <w:rFonts w:asciiTheme="minorHAnsi" w:hAnsiTheme="minorHAnsi"/>
          <w:color w:val="auto"/>
          <w:sz w:val="20"/>
          <w:szCs w:val="20"/>
          <w:lang w:val="sr-Cyrl-RS"/>
        </w:rPr>
      </w:pPr>
    </w:p>
    <w:p w14:paraId="29DB5BB1" w14:textId="77777777" w:rsidR="001538EF" w:rsidRDefault="001538EF" w:rsidP="001538EF">
      <w:pPr>
        <w:rPr>
          <w:rFonts w:asciiTheme="minorHAnsi" w:hAnsiTheme="minorHAnsi"/>
          <w:color w:val="auto"/>
          <w:sz w:val="20"/>
          <w:szCs w:val="20"/>
          <w:lang w:val="sr-Cyrl-RS"/>
        </w:rPr>
      </w:pPr>
      <w:r w:rsidRPr="00EA7186">
        <w:rPr>
          <w:rFonts w:asciiTheme="minorHAnsi" w:hAnsiTheme="minorHAnsi"/>
          <w:color w:val="auto"/>
          <w:sz w:val="20"/>
          <w:szCs w:val="20"/>
          <w:lang w:val="sr-Latn-CS"/>
        </w:rPr>
        <w:t>У књиговодственој евиденцији су спроведена одговарајућа књижења у циљу усклађивања књиговодствене с процјењеном вриједности потраживања од наведених банака које су у стечајном</w:t>
      </w:r>
      <w:r w:rsidR="00BD6792">
        <w:rPr>
          <w:rFonts w:asciiTheme="minorHAnsi" w:hAnsiTheme="minorHAnsi"/>
          <w:color w:val="auto"/>
          <w:sz w:val="20"/>
          <w:szCs w:val="20"/>
          <w:lang w:val="sr-Cyrl-RS"/>
        </w:rPr>
        <w:t xml:space="preserve">, односно ликвидационом </w:t>
      </w:r>
      <w:r w:rsidRPr="00EA7186">
        <w:rPr>
          <w:rFonts w:asciiTheme="minorHAnsi" w:hAnsiTheme="minorHAnsi"/>
          <w:color w:val="auto"/>
          <w:sz w:val="20"/>
          <w:szCs w:val="20"/>
          <w:lang w:val="sr-Latn-CS"/>
        </w:rPr>
        <w:t xml:space="preserve"> поступку на дан билансирања.</w:t>
      </w:r>
    </w:p>
    <w:p w14:paraId="5F596732" w14:textId="77777777" w:rsidR="00F6210D" w:rsidRPr="00F6210D" w:rsidRDefault="00F6210D" w:rsidP="001538EF">
      <w:pPr>
        <w:rPr>
          <w:rFonts w:asciiTheme="minorHAnsi" w:hAnsiTheme="minorHAnsi"/>
          <w:color w:val="auto"/>
          <w:sz w:val="20"/>
          <w:szCs w:val="20"/>
          <w:lang w:val="sr-Cyrl-RS"/>
        </w:rPr>
      </w:pPr>
    </w:p>
    <w:p w14:paraId="03D8D776" w14:textId="77777777" w:rsidR="00E84021" w:rsidRDefault="001538EF" w:rsidP="001538EF">
      <w:pPr>
        <w:rPr>
          <w:rFonts w:asciiTheme="minorHAnsi" w:hAnsiTheme="minorHAnsi"/>
          <w:color w:val="auto"/>
          <w:sz w:val="20"/>
          <w:szCs w:val="20"/>
          <w:lang w:val="sr-Cyrl-BA"/>
        </w:rPr>
      </w:pPr>
      <w:r w:rsidRPr="00BD6792">
        <w:rPr>
          <w:rFonts w:asciiTheme="minorHAnsi" w:hAnsiTheme="minorHAnsi"/>
          <w:color w:val="auto"/>
          <w:sz w:val="20"/>
          <w:szCs w:val="20"/>
          <w:lang w:val="sr-Latn-CS"/>
        </w:rPr>
        <w:t>Констатова</w:t>
      </w:r>
      <w:r w:rsidRPr="00BD6792">
        <w:rPr>
          <w:rFonts w:asciiTheme="minorHAnsi" w:hAnsiTheme="minorHAnsi"/>
          <w:color w:val="auto"/>
          <w:sz w:val="20"/>
          <w:szCs w:val="20"/>
          <w:lang w:val="sr-Cyrl-BA"/>
        </w:rPr>
        <w:t xml:space="preserve">но је </w:t>
      </w:r>
      <w:r w:rsidRPr="00BD6792">
        <w:rPr>
          <w:rFonts w:asciiTheme="minorHAnsi" w:hAnsiTheme="minorHAnsi"/>
          <w:color w:val="auto"/>
          <w:sz w:val="20"/>
          <w:szCs w:val="20"/>
          <w:lang w:val="sr-Latn-CS"/>
        </w:rPr>
        <w:t>да Фонд примјењује усвојену методологију за процјену очекиваних губитака рађену према МСФИ-9 Финансијски инструменти.</w:t>
      </w:r>
      <w:r w:rsidR="00BD6792" w:rsidRPr="00BD6792">
        <w:rPr>
          <w:rFonts w:asciiTheme="minorHAnsi" w:hAnsiTheme="minorHAnsi"/>
          <w:color w:val="auto"/>
          <w:sz w:val="20"/>
          <w:szCs w:val="20"/>
          <w:lang w:val="sr-Cyrl-RS"/>
        </w:rPr>
        <w:t xml:space="preserve"> Према ревизорском извјештају, н</w:t>
      </w:r>
      <w:r w:rsidRPr="00BD6792">
        <w:rPr>
          <w:rFonts w:asciiTheme="minorHAnsi" w:hAnsiTheme="minorHAnsi"/>
          <w:color w:val="auto"/>
          <w:sz w:val="20"/>
          <w:szCs w:val="20"/>
          <w:lang w:val="sr-Latn-CS"/>
        </w:rPr>
        <w:t>ис</w:t>
      </w:r>
      <w:r w:rsidRPr="00BD6792">
        <w:rPr>
          <w:rFonts w:asciiTheme="minorHAnsi" w:hAnsiTheme="minorHAnsi"/>
          <w:color w:val="auto"/>
          <w:sz w:val="20"/>
          <w:szCs w:val="20"/>
          <w:lang w:val="sr-Cyrl-BA"/>
        </w:rPr>
        <w:t>у</w:t>
      </w:r>
      <w:r w:rsidRPr="00BD6792">
        <w:rPr>
          <w:rFonts w:asciiTheme="minorHAnsi" w:hAnsiTheme="minorHAnsi"/>
          <w:color w:val="auto"/>
          <w:sz w:val="20"/>
          <w:szCs w:val="20"/>
          <w:lang w:val="sr-Latn-CS"/>
        </w:rPr>
        <w:t xml:space="preserve"> идентификова</w:t>
      </w:r>
      <w:r w:rsidRPr="00BD6792">
        <w:rPr>
          <w:rFonts w:asciiTheme="minorHAnsi" w:hAnsiTheme="minorHAnsi"/>
          <w:color w:val="auto"/>
          <w:sz w:val="20"/>
          <w:szCs w:val="20"/>
          <w:lang w:val="sr-Cyrl-BA"/>
        </w:rPr>
        <w:t>не</w:t>
      </w:r>
      <w:r w:rsidRPr="00BD6792">
        <w:rPr>
          <w:rFonts w:asciiTheme="minorHAnsi" w:hAnsiTheme="minorHAnsi"/>
          <w:color w:val="auto"/>
          <w:sz w:val="20"/>
          <w:szCs w:val="20"/>
          <w:lang w:val="sr-Latn-CS"/>
        </w:rPr>
        <w:t xml:space="preserve"> неправилности у вези са вредновањем </w:t>
      </w:r>
      <w:r w:rsidRPr="00BD6792">
        <w:rPr>
          <w:rFonts w:asciiTheme="minorHAnsi" w:hAnsiTheme="minorHAnsi"/>
          <w:color w:val="auto"/>
          <w:sz w:val="20"/>
          <w:szCs w:val="20"/>
          <w:lang w:val="sr-Cyrl-BA"/>
        </w:rPr>
        <w:t>„</w:t>
      </w:r>
      <w:r w:rsidRPr="00BD6792">
        <w:rPr>
          <w:rFonts w:asciiTheme="minorHAnsi" w:hAnsiTheme="minorHAnsi"/>
          <w:color w:val="auto"/>
          <w:sz w:val="20"/>
          <w:szCs w:val="20"/>
          <w:lang w:val="sr-Latn-CS"/>
        </w:rPr>
        <w:t>Осталих пласмана у домаћој валути</w:t>
      </w:r>
      <w:r w:rsidRPr="00BD6792">
        <w:rPr>
          <w:rFonts w:asciiTheme="minorHAnsi" w:hAnsiTheme="minorHAnsi"/>
          <w:color w:val="auto"/>
          <w:sz w:val="20"/>
          <w:szCs w:val="20"/>
          <w:lang w:val="sr-Cyrl-BA"/>
        </w:rPr>
        <w:t>“</w:t>
      </w:r>
      <w:r w:rsidRPr="00BD6792">
        <w:rPr>
          <w:rFonts w:asciiTheme="minorHAnsi" w:hAnsiTheme="minorHAnsi"/>
          <w:color w:val="auto"/>
          <w:sz w:val="20"/>
          <w:szCs w:val="20"/>
          <w:lang w:val="sr-Latn-CS"/>
        </w:rPr>
        <w:t xml:space="preserve"> и података објелодањених у</w:t>
      </w:r>
      <w:r w:rsidR="00BD6792">
        <w:rPr>
          <w:rFonts w:asciiTheme="minorHAnsi" w:hAnsiTheme="minorHAnsi"/>
          <w:color w:val="auto"/>
          <w:sz w:val="20"/>
          <w:szCs w:val="20"/>
          <w:lang w:val="sr-Latn-CS"/>
        </w:rPr>
        <w:t>з Финансијске извјештаје за 202</w:t>
      </w:r>
      <w:r w:rsidR="00BD6792">
        <w:rPr>
          <w:rFonts w:asciiTheme="minorHAnsi" w:hAnsiTheme="minorHAnsi"/>
          <w:color w:val="auto"/>
          <w:sz w:val="20"/>
          <w:szCs w:val="20"/>
          <w:lang w:val="sr-Cyrl-RS"/>
        </w:rPr>
        <w:t>3</w:t>
      </w:r>
      <w:r w:rsidRPr="00BD6792">
        <w:rPr>
          <w:rFonts w:asciiTheme="minorHAnsi" w:hAnsiTheme="minorHAnsi"/>
          <w:color w:val="auto"/>
          <w:sz w:val="20"/>
          <w:szCs w:val="20"/>
          <w:lang w:val="sr-Latn-CS"/>
        </w:rPr>
        <w:t>.годину</w:t>
      </w:r>
      <w:r w:rsidRPr="00BD6792">
        <w:rPr>
          <w:rFonts w:asciiTheme="minorHAnsi" w:hAnsiTheme="minorHAnsi"/>
          <w:color w:val="auto"/>
          <w:sz w:val="20"/>
          <w:szCs w:val="20"/>
          <w:lang w:val="sr-Cyrl-BA"/>
        </w:rPr>
        <w:t>.</w:t>
      </w:r>
    </w:p>
    <w:p w14:paraId="30CE8BBB" w14:textId="77777777" w:rsidR="00F6210D" w:rsidRDefault="00F6210D" w:rsidP="001538EF">
      <w:pPr>
        <w:rPr>
          <w:rFonts w:asciiTheme="minorHAnsi" w:hAnsiTheme="minorHAnsi"/>
          <w:color w:val="auto"/>
          <w:sz w:val="20"/>
          <w:szCs w:val="20"/>
          <w:lang w:val="sr-Cyrl-BA"/>
        </w:rPr>
      </w:pPr>
    </w:p>
    <w:p w14:paraId="7ED351CE" w14:textId="77777777" w:rsidR="00F6210D" w:rsidRDefault="00F6210D" w:rsidP="001538EF">
      <w:pPr>
        <w:rPr>
          <w:rFonts w:asciiTheme="minorHAnsi" w:hAnsiTheme="minorHAnsi"/>
          <w:color w:val="auto"/>
          <w:sz w:val="20"/>
          <w:szCs w:val="20"/>
          <w:lang w:val="sr-Cyrl-BA"/>
        </w:rPr>
      </w:pPr>
    </w:p>
    <w:p w14:paraId="0BF659FA" w14:textId="77777777" w:rsidR="00F6210D" w:rsidRDefault="00F6210D" w:rsidP="001538EF">
      <w:pPr>
        <w:rPr>
          <w:rFonts w:asciiTheme="minorHAnsi" w:hAnsiTheme="minorHAnsi"/>
          <w:color w:val="auto"/>
          <w:sz w:val="20"/>
          <w:szCs w:val="20"/>
          <w:lang w:val="sr-Cyrl-BA"/>
        </w:rPr>
      </w:pPr>
    </w:p>
    <w:p w14:paraId="04E69554" w14:textId="77777777" w:rsidR="00F6210D" w:rsidRDefault="00F6210D" w:rsidP="001538EF">
      <w:pPr>
        <w:rPr>
          <w:rFonts w:asciiTheme="minorHAnsi" w:hAnsiTheme="minorHAnsi"/>
          <w:color w:val="auto"/>
          <w:sz w:val="20"/>
          <w:szCs w:val="20"/>
          <w:lang w:val="sr-Cyrl-BA"/>
        </w:rPr>
      </w:pPr>
    </w:p>
    <w:p w14:paraId="1CFB7243" w14:textId="77777777" w:rsidR="00F6210D" w:rsidRDefault="00F6210D" w:rsidP="001538EF">
      <w:pPr>
        <w:rPr>
          <w:rFonts w:asciiTheme="minorHAnsi" w:hAnsiTheme="minorHAnsi"/>
          <w:color w:val="auto"/>
          <w:sz w:val="20"/>
          <w:szCs w:val="20"/>
          <w:lang w:val="sr-Cyrl-BA"/>
        </w:rPr>
      </w:pPr>
    </w:p>
    <w:p w14:paraId="755B3766" w14:textId="77777777" w:rsidR="00F6210D" w:rsidRDefault="00F6210D" w:rsidP="001538EF">
      <w:pPr>
        <w:rPr>
          <w:rFonts w:asciiTheme="minorHAnsi" w:hAnsiTheme="minorHAnsi"/>
          <w:color w:val="auto"/>
          <w:sz w:val="20"/>
          <w:szCs w:val="20"/>
          <w:lang w:val="sr-Cyrl-BA"/>
        </w:rPr>
      </w:pPr>
    </w:p>
    <w:p w14:paraId="476933B3" w14:textId="77777777" w:rsidR="00F6210D" w:rsidRDefault="00F6210D" w:rsidP="001538EF">
      <w:pPr>
        <w:rPr>
          <w:rFonts w:asciiTheme="minorHAnsi" w:hAnsiTheme="minorHAnsi"/>
          <w:color w:val="auto"/>
          <w:sz w:val="20"/>
          <w:szCs w:val="20"/>
          <w:lang w:val="sr-Cyrl-BA"/>
        </w:rPr>
      </w:pPr>
    </w:p>
    <w:p w14:paraId="29F12662" w14:textId="77777777" w:rsidR="00F6210D" w:rsidRDefault="00F6210D" w:rsidP="001538EF">
      <w:pPr>
        <w:rPr>
          <w:rFonts w:asciiTheme="minorHAnsi" w:hAnsiTheme="minorHAnsi"/>
          <w:color w:val="auto"/>
          <w:sz w:val="20"/>
          <w:szCs w:val="20"/>
          <w:lang w:val="sr-Cyrl-BA"/>
        </w:rPr>
      </w:pPr>
    </w:p>
    <w:p w14:paraId="235A349A" w14:textId="77777777" w:rsidR="00F6210D" w:rsidRDefault="00F6210D" w:rsidP="001538EF">
      <w:pPr>
        <w:rPr>
          <w:rFonts w:asciiTheme="minorHAnsi" w:hAnsiTheme="minorHAnsi"/>
          <w:color w:val="auto"/>
          <w:sz w:val="20"/>
          <w:szCs w:val="20"/>
          <w:lang w:val="sr-Cyrl-BA"/>
        </w:rPr>
      </w:pPr>
    </w:p>
    <w:p w14:paraId="56A0B7DC" w14:textId="77777777" w:rsidR="00F6210D" w:rsidRDefault="00F6210D" w:rsidP="001538EF">
      <w:pPr>
        <w:rPr>
          <w:rFonts w:asciiTheme="minorHAnsi" w:hAnsiTheme="minorHAnsi"/>
          <w:color w:val="auto"/>
          <w:sz w:val="20"/>
          <w:szCs w:val="20"/>
          <w:lang w:val="sr-Cyrl-BA"/>
        </w:rPr>
      </w:pPr>
    </w:p>
    <w:p w14:paraId="6EBA4A70" w14:textId="77777777" w:rsidR="00F6210D" w:rsidRDefault="00F6210D" w:rsidP="001538EF">
      <w:pPr>
        <w:rPr>
          <w:rFonts w:asciiTheme="minorHAnsi" w:hAnsiTheme="minorHAnsi"/>
          <w:color w:val="auto"/>
          <w:sz w:val="20"/>
          <w:szCs w:val="20"/>
          <w:lang w:val="sr-Cyrl-BA"/>
        </w:rPr>
      </w:pPr>
    </w:p>
    <w:p w14:paraId="7BC68A84" w14:textId="77777777" w:rsidR="00F6210D" w:rsidRDefault="00F6210D" w:rsidP="001538EF">
      <w:pPr>
        <w:rPr>
          <w:rFonts w:asciiTheme="minorHAnsi" w:hAnsiTheme="minorHAnsi"/>
          <w:color w:val="auto"/>
          <w:sz w:val="20"/>
          <w:szCs w:val="20"/>
          <w:lang w:val="sr-Cyrl-BA"/>
        </w:rPr>
      </w:pPr>
    </w:p>
    <w:p w14:paraId="0ABCF672" w14:textId="77777777" w:rsidR="00F6210D" w:rsidRDefault="00F6210D" w:rsidP="001538EF">
      <w:pPr>
        <w:rPr>
          <w:rFonts w:asciiTheme="minorHAnsi" w:hAnsiTheme="minorHAnsi"/>
          <w:color w:val="auto"/>
          <w:sz w:val="20"/>
          <w:szCs w:val="20"/>
          <w:lang w:val="sr-Cyrl-BA"/>
        </w:rPr>
      </w:pPr>
    </w:p>
    <w:p w14:paraId="0E473D12" w14:textId="77777777" w:rsidR="00F6210D" w:rsidRDefault="00F6210D" w:rsidP="001538EF">
      <w:pPr>
        <w:rPr>
          <w:rFonts w:asciiTheme="minorHAnsi" w:hAnsiTheme="minorHAnsi"/>
          <w:color w:val="auto"/>
          <w:sz w:val="20"/>
          <w:szCs w:val="20"/>
          <w:lang w:val="sr-Cyrl-BA"/>
        </w:rPr>
      </w:pPr>
    </w:p>
    <w:p w14:paraId="5DFEA438" w14:textId="77777777" w:rsidR="00F6210D" w:rsidRDefault="00F6210D" w:rsidP="001538EF">
      <w:pPr>
        <w:rPr>
          <w:rFonts w:asciiTheme="minorHAnsi" w:hAnsiTheme="minorHAnsi"/>
          <w:color w:val="auto"/>
          <w:sz w:val="20"/>
          <w:szCs w:val="20"/>
          <w:lang w:val="sr-Cyrl-BA"/>
        </w:rPr>
      </w:pPr>
    </w:p>
    <w:p w14:paraId="0CEED987" w14:textId="77777777" w:rsidR="00F6210D" w:rsidRDefault="00F6210D" w:rsidP="001538EF">
      <w:pPr>
        <w:rPr>
          <w:rFonts w:asciiTheme="minorHAnsi" w:hAnsiTheme="minorHAnsi"/>
          <w:color w:val="auto"/>
          <w:sz w:val="20"/>
          <w:szCs w:val="20"/>
          <w:lang w:val="sr-Cyrl-BA"/>
        </w:rPr>
      </w:pPr>
    </w:p>
    <w:p w14:paraId="76E41EB9" w14:textId="77777777" w:rsidR="001538EF" w:rsidRPr="009A46DA" w:rsidRDefault="001538EF" w:rsidP="009F70C0">
      <w:pPr>
        <w:rPr>
          <w:rFonts w:asciiTheme="minorHAnsi" w:hAnsiTheme="minorHAnsi"/>
          <w:sz w:val="20"/>
          <w:szCs w:val="20"/>
          <w:lang w:val="sr-Latn-BA"/>
        </w:rPr>
      </w:pPr>
    </w:p>
    <w:p w14:paraId="287B942C" w14:textId="77777777" w:rsidR="001538EF" w:rsidRPr="005767EF" w:rsidRDefault="00E84021" w:rsidP="00E84021">
      <w:pPr>
        <w:pStyle w:val="Heading2"/>
        <w:numPr>
          <w:ilvl w:val="0"/>
          <w:numId w:val="0"/>
        </w:numPr>
        <w:rPr>
          <w:rFonts w:asciiTheme="minorHAnsi" w:hAnsiTheme="minorHAnsi"/>
          <w:szCs w:val="20"/>
          <w:lang w:val="sr-Cyrl-BA"/>
        </w:rPr>
      </w:pPr>
      <w:r>
        <w:rPr>
          <w:rFonts w:asciiTheme="minorHAnsi" w:hAnsiTheme="minorHAnsi"/>
          <w:szCs w:val="20"/>
          <w:lang w:val="sr-Cyrl-RS"/>
        </w:rPr>
        <w:t xml:space="preserve">3.4 </w:t>
      </w:r>
      <w:r w:rsidR="001538EF" w:rsidRPr="005767EF">
        <w:rPr>
          <w:rFonts w:asciiTheme="minorHAnsi" w:hAnsiTheme="minorHAnsi"/>
          <w:szCs w:val="20"/>
        </w:rPr>
        <w:t xml:space="preserve"> </w:t>
      </w:r>
      <w:bookmarkStart w:id="16" w:name="_Toc135292178"/>
      <w:r w:rsidR="001538EF" w:rsidRPr="005767EF">
        <w:rPr>
          <w:rFonts w:asciiTheme="minorHAnsi" w:hAnsiTheme="minorHAnsi"/>
          <w:szCs w:val="20"/>
          <w:lang w:val="sr-Cyrl-BA"/>
        </w:rPr>
        <w:t>АНАЛИЗА БИЛАНСА СТАЊА НА ДАН 31.12.202</w:t>
      </w:r>
      <w:r w:rsidR="009346DA">
        <w:rPr>
          <w:rFonts w:asciiTheme="minorHAnsi" w:hAnsiTheme="minorHAnsi"/>
          <w:szCs w:val="20"/>
          <w:lang w:val="sr-Cyrl-BA"/>
        </w:rPr>
        <w:t>3</w:t>
      </w:r>
      <w:r w:rsidR="001538EF" w:rsidRPr="005767EF">
        <w:rPr>
          <w:rFonts w:asciiTheme="minorHAnsi" w:hAnsiTheme="minorHAnsi"/>
          <w:szCs w:val="20"/>
          <w:lang w:val="sr-Cyrl-BA"/>
        </w:rPr>
        <w:t>. ГОДИНЕ</w:t>
      </w:r>
      <w:bookmarkEnd w:id="16"/>
      <w:r w:rsidR="001538EF" w:rsidRPr="005767EF">
        <w:rPr>
          <w:rFonts w:asciiTheme="minorHAnsi" w:hAnsiTheme="minorHAnsi"/>
          <w:szCs w:val="20"/>
        </w:rPr>
        <w:t xml:space="preserve">                </w:t>
      </w:r>
    </w:p>
    <w:p w14:paraId="27F0244B" w14:textId="77777777" w:rsidR="001538EF" w:rsidRPr="005767EF" w:rsidRDefault="001538EF" w:rsidP="001538EF">
      <w:pPr>
        <w:ind w:left="708" w:right="-142"/>
        <w:rPr>
          <w:rFonts w:asciiTheme="minorHAnsi" w:hAnsiTheme="minorHAnsi"/>
          <w:b/>
          <w:sz w:val="20"/>
          <w:szCs w:val="20"/>
          <w:lang w:val="sr-Cyrl-CS" w:eastAsia="sr-Cyrl-CS"/>
        </w:rPr>
      </w:pPr>
    </w:p>
    <w:p w14:paraId="42AD0F96" w14:textId="77777777" w:rsidR="001538EF" w:rsidRPr="005767EF" w:rsidRDefault="001538EF" w:rsidP="007434A3">
      <w:pPr>
        <w:ind w:left="708" w:right="-142"/>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биланс</w:t>
      </w:r>
      <w:r w:rsidRPr="005767EF">
        <w:rPr>
          <w:rFonts w:asciiTheme="minorHAnsi" w:hAnsiTheme="minorHAnsi"/>
          <w:b/>
          <w:sz w:val="20"/>
          <w:szCs w:val="20"/>
          <w:lang w:val="sr-Cyrl-BA" w:eastAsia="sr-Cyrl-CS"/>
        </w:rPr>
        <w:t>н</w:t>
      </w:r>
      <w:r w:rsidRPr="005767EF">
        <w:rPr>
          <w:rFonts w:asciiTheme="minorHAnsi" w:hAnsiTheme="minorHAnsi"/>
          <w:b/>
          <w:sz w:val="20"/>
          <w:szCs w:val="20"/>
          <w:lang w:val="sr-Cyrl-CS" w:eastAsia="sr-Cyrl-CS"/>
        </w:rPr>
        <w:t>их позиција а</w:t>
      </w:r>
      <w:r w:rsidR="00811D04">
        <w:rPr>
          <w:rFonts w:asciiTheme="minorHAnsi" w:hAnsiTheme="minorHAnsi"/>
          <w:b/>
          <w:sz w:val="20"/>
          <w:szCs w:val="20"/>
          <w:lang w:val="sr-Cyrl-CS" w:eastAsia="sr-Cyrl-CS"/>
        </w:rPr>
        <w:t>ктиве и пасиве на дан 31.12.2023</w:t>
      </w:r>
      <w:r w:rsidRPr="005767EF">
        <w:rPr>
          <w:rFonts w:asciiTheme="minorHAnsi" w:hAnsiTheme="minorHAnsi"/>
          <w:b/>
          <w:sz w:val="20"/>
          <w:szCs w:val="20"/>
          <w:lang w:val="sr-Cyrl-CS" w:eastAsia="sr-Cyrl-CS"/>
        </w:rPr>
        <w:t>. године</w:t>
      </w:r>
    </w:p>
    <w:p w14:paraId="043BCC21" w14:textId="77777777" w:rsidR="001538EF" w:rsidRPr="005767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t xml:space="preserve">                           </w:t>
      </w:r>
      <w:r w:rsidR="00330E93">
        <w:rPr>
          <w:rFonts w:asciiTheme="minorHAnsi" w:hAnsiTheme="minorHAnsi"/>
          <w:b/>
          <w:sz w:val="20"/>
          <w:szCs w:val="20"/>
          <w:lang w:val="sr-Cyrl-CS" w:eastAsia="sr-Cyrl-CS"/>
        </w:rPr>
        <w:t xml:space="preserve">                Табела 26</w:t>
      </w:r>
    </w:p>
    <w:tbl>
      <w:tblPr>
        <w:tblW w:w="8800" w:type="dxa"/>
        <w:tblInd w:w="93" w:type="dxa"/>
        <w:tblLook w:val="04A0" w:firstRow="1" w:lastRow="0" w:firstColumn="1" w:lastColumn="0" w:noHBand="0" w:noVBand="1"/>
      </w:tblPr>
      <w:tblGrid>
        <w:gridCol w:w="3160"/>
        <w:gridCol w:w="2120"/>
        <w:gridCol w:w="2140"/>
        <w:gridCol w:w="1380"/>
      </w:tblGrid>
      <w:tr w:rsidR="007C74A2" w:rsidRPr="005D68A8" w14:paraId="596CA4B5" w14:textId="77777777" w:rsidTr="005D68A8">
        <w:trPr>
          <w:trHeight w:val="720"/>
        </w:trPr>
        <w:tc>
          <w:tcPr>
            <w:tcW w:w="316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0512D147" w14:textId="77777777" w:rsidR="007C74A2" w:rsidRPr="005D68A8" w:rsidRDefault="007C74A2" w:rsidP="005D68A8">
            <w:pPr>
              <w:jc w:val="center"/>
              <w:rPr>
                <w:rFonts w:ascii="Calibri" w:hAnsi="Calibri"/>
                <w:b/>
                <w:bCs/>
                <w:sz w:val="20"/>
                <w:szCs w:val="20"/>
              </w:rPr>
            </w:pPr>
            <w:r w:rsidRPr="005D68A8">
              <w:rPr>
                <w:rFonts w:ascii="Calibri" w:hAnsi="Calibri"/>
                <w:b/>
                <w:bCs/>
                <w:sz w:val="20"/>
                <w:szCs w:val="20"/>
              </w:rPr>
              <w:t xml:space="preserve">Билансна позиција </w:t>
            </w:r>
          </w:p>
        </w:tc>
        <w:tc>
          <w:tcPr>
            <w:tcW w:w="2120" w:type="dxa"/>
            <w:tcBorders>
              <w:top w:val="single" w:sz="4" w:space="0" w:color="auto"/>
              <w:left w:val="nil"/>
              <w:bottom w:val="single" w:sz="4" w:space="0" w:color="auto"/>
              <w:right w:val="single" w:sz="4" w:space="0" w:color="auto"/>
            </w:tcBorders>
            <w:shd w:val="clear" w:color="000000" w:fill="8DB3E2"/>
            <w:vAlign w:val="center"/>
            <w:hideMark/>
          </w:tcPr>
          <w:p w14:paraId="3DF3489D" w14:textId="77777777" w:rsidR="007C74A2" w:rsidRPr="005D68A8" w:rsidRDefault="007C74A2" w:rsidP="005D68A8">
            <w:pPr>
              <w:jc w:val="center"/>
              <w:rPr>
                <w:rFonts w:ascii="Calibri" w:hAnsi="Calibri"/>
                <w:b/>
                <w:bCs/>
                <w:sz w:val="20"/>
                <w:szCs w:val="20"/>
              </w:rPr>
            </w:pPr>
            <w:r w:rsidRPr="005D68A8">
              <w:rPr>
                <w:rFonts w:ascii="Calibri" w:hAnsi="Calibri"/>
                <w:b/>
                <w:bCs/>
                <w:sz w:val="20"/>
                <w:szCs w:val="20"/>
              </w:rPr>
              <w:t>Стање на дан 31.12.2022.</w:t>
            </w:r>
          </w:p>
        </w:tc>
        <w:tc>
          <w:tcPr>
            <w:tcW w:w="2140" w:type="dxa"/>
            <w:tcBorders>
              <w:top w:val="single" w:sz="4" w:space="0" w:color="auto"/>
              <w:left w:val="nil"/>
              <w:bottom w:val="single" w:sz="4" w:space="0" w:color="auto"/>
              <w:right w:val="single" w:sz="4" w:space="0" w:color="auto"/>
            </w:tcBorders>
            <w:shd w:val="clear" w:color="000000" w:fill="8DB3E2"/>
            <w:vAlign w:val="center"/>
            <w:hideMark/>
          </w:tcPr>
          <w:p w14:paraId="3935953D" w14:textId="77777777" w:rsidR="007C74A2" w:rsidRPr="005D68A8" w:rsidRDefault="007C74A2" w:rsidP="005D68A8">
            <w:pPr>
              <w:jc w:val="center"/>
              <w:rPr>
                <w:rFonts w:ascii="Calibri" w:hAnsi="Calibri"/>
                <w:b/>
                <w:bCs/>
                <w:sz w:val="20"/>
                <w:szCs w:val="20"/>
              </w:rPr>
            </w:pPr>
            <w:r w:rsidRPr="005D68A8">
              <w:rPr>
                <w:rFonts w:ascii="Calibri" w:hAnsi="Calibri"/>
                <w:b/>
                <w:bCs/>
                <w:sz w:val="20"/>
                <w:szCs w:val="20"/>
              </w:rPr>
              <w:t>Стање на дан 31.12.2023.</w:t>
            </w:r>
          </w:p>
        </w:tc>
        <w:tc>
          <w:tcPr>
            <w:tcW w:w="1380" w:type="dxa"/>
            <w:tcBorders>
              <w:top w:val="single" w:sz="4" w:space="0" w:color="auto"/>
              <w:left w:val="nil"/>
              <w:bottom w:val="single" w:sz="4" w:space="0" w:color="auto"/>
              <w:right w:val="single" w:sz="4" w:space="0" w:color="auto"/>
            </w:tcBorders>
            <w:shd w:val="clear" w:color="000000" w:fill="8DB3E2"/>
            <w:noWrap/>
            <w:vAlign w:val="center"/>
            <w:hideMark/>
          </w:tcPr>
          <w:p w14:paraId="57AB15B5" w14:textId="77777777" w:rsidR="007C74A2" w:rsidRDefault="007C74A2">
            <w:pPr>
              <w:jc w:val="center"/>
              <w:rPr>
                <w:rFonts w:ascii="Calibri" w:hAnsi="Calibri"/>
                <w:b/>
                <w:bCs/>
                <w:sz w:val="20"/>
                <w:szCs w:val="20"/>
              </w:rPr>
            </w:pPr>
            <w:r>
              <w:rPr>
                <w:rFonts w:ascii="Calibri" w:hAnsi="Calibri"/>
                <w:b/>
                <w:bCs/>
                <w:sz w:val="20"/>
                <w:szCs w:val="20"/>
              </w:rPr>
              <w:t xml:space="preserve">Индекс </w:t>
            </w:r>
          </w:p>
        </w:tc>
      </w:tr>
      <w:tr w:rsidR="007C74A2" w:rsidRPr="005D68A8" w14:paraId="41ABFC18"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37F7996F"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Укупно текућа средства</w:t>
            </w:r>
          </w:p>
        </w:tc>
        <w:tc>
          <w:tcPr>
            <w:tcW w:w="2120" w:type="dxa"/>
            <w:tcBorders>
              <w:top w:val="nil"/>
              <w:left w:val="nil"/>
              <w:bottom w:val="single" w:sz="4" w:space="0" w:color="auto"/>
              <w:right w:val="single" w:sz="4" w:space="0" w:color="auto"/>
            </w:tcBorders>
            <w:shd w:val="clear" w:color="000000" w:fill="C5D9F1"/>
            <w:noWrap/>
            <w:vAlign w:val="center"/>
            <w:hideMark/>
          </w:tcPr>
          <w:p w14:paraId="30C5FD75"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19.865.550,00</w:t>
            </w:r>
          </w:p>
        </w:tc>
        <w:tc>
          <w:tcPr>
            <w:tcW w:w="2140" w:type="dxa"/>
            <w:tcBorders>
              <w:top w:val="nil"/>
              <w:left w:val="nil"/>
              <w:bottom w:val="single" w:sz="4" w:space="0" w:color="auto"/>
              <w:right w:val="single" w:sz="4" w:space="0" w:color="auto"/>
            </w:tcBorders>
            <w:shd w:val="clear" w:color="000000" w:fill="C5D9F1"/>
            <w:noWrap/>
            <w:vAlign w:val="center"/>
            <w:hideMark/>
          </w:tcPr>
          <w:p w14:paraId="36994BF1"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20.553.861,09</w:t>
            </w:r>
          </w:p>
        </w:tc>
        <w:tc>
          <w:tcPr>
            <w:tcW w:w="1380" w:type="dxa"/>
            <w:tcBorders>
              <w:top w:val="nil"/>
              <w:left w:val="nil"/>
              <w:bottom w:val="single" w:sz="4" w:space="0" w:color="auto"/>
              <w:right w:val="single" w:sz="4" w:space="0" w:color="auto"/>
            </w:tcBorders>
            <w:shd w:val="clear" w:color="000000" w:fill="C5D9F1"/>
            <w:noWrap/>
            <w:vAlign w:val="center"/>
            <w:hideMark/>
          </w:tcPr>
          <w:p w14:paraId="32033F9B" w14:textId="77777777" w:rsidR="007C74A2" w:rsidRDefault="007C74A2">
            <w:pPr>
              <w:jc w:val="right"/>
              <w:rPr>
                <w:rFonts w:ascii="Calibri" w:hAnsi="Calibri"/>
                <w:b/>
                <w:bCs/>
                <w:sz w:val="20"/>
                <w:szCs w:val="20"/>
              </w:rPr>
            </w:pPr>
            <w:r>
              <w:rPr>
                <w:rFonts w:ascii="Calibri" w:hAnsi="Calibri"/>
                <w:b/>
                <w:bCs/>
                <w:sz w:val="20"/>
                <w:szCs w:val="20"/>
              </w:rPr>
              <w:t>103,46</w:t>
            </w:r>
          </w:p>
        </w:tc>
      </w:tr>
      <w:tr w:rsidR="007C74A2" w:rsidRPr="005D68A8" w14:paraId="2D8A34C6"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DF2F5F0" w14:textId="77777777" w:rsidR="007C74A2" w:rsidRPr="005D68A8" w:rsidRDefault="007C74A2" w:rsidP="005D68A8">
            <w:pPr>
              <w:jc w:val="left"/>
              <w:rPr>
                <w:rFonts w:ascii="Calibri" w:hAnsi="Calibri"/>
                <w:sz w:val="20"/>
                <w:szCs w:val="20"/>
              </w:rPr>
            </w:pPr>
            <w:r w:rsidRPr="005D68A8">
              <w:rPr>
                <w:rFonts w:ascii="Calibri" w:hAnsi="Calibri"/>
                <w:sz w:val="20"/>
                <w:szCs w:val="20"/>
              </w:rPr>
              <w:t>Готовина и готовински еквиваленти</w:t>
            </w:r>
          </w:p>
        </w:tc>
        <w:tc>
          <w:tcPr>
            <w:tcW w:w="2120" w:type="dxa"/>
            <w:tcBorders>
              <w:top w:val="nil"/>
              <w:left w:val="nil"/>
              <w:bottom w:val="single" w:sz="4" w:space="0" w:color="auto"/>
              <w:right w:val="single" w:sz="4" w:space="0" w:color="auto"/>
            </w:tcBorders>
            <w:shd w:val="clear" w:color="auto" w:fill="auto"/>
            <w:noWrap/>
            <w:vAlign w:val="center"/>
            <w:hideMark/>
          </w:tcPr>
          <w:p w14:paraId="6CD1F47E"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1.385.216,00</w:t>
            </w:r>
          </w:p>
        </w:tc>
        <w:tc>
          <w:tcPr>
            <w:tcW w:w="2140" w:type="dxa"/>
            <w:tcBorders>
              <w:top w:val="nil"/>
              <w:left w:val="nil"/>
              <w:bottom w:val="single" w:sz="4" w:space="0" w:color="auto"/>
              <w:right w:val="single" w:sz="4" w:space="0" w:color="auto"/>
            </w:tcBorders>
            <w:shd w:val="clear" w:color="auto" w:fill="auto"/>
            <w:noWrap/>
            <w:vAlign w:val="center"/>
            <w:hideMark/>
          </w:tcPr>
          <w:p w14:paraId="4D9D6CCD" w14:textId="77777777" w:rsidR="007C74A2" w:rsidRPr="005D68A8" w:rsidRDefault="007C74A2" w:rsidP="005D68A8">
            <w:pPr>
              <w:jc w:val="right"/>
              <w:rPr>
                <w:rFonts w:ascii="Calibri" w:hAnsi="Calibri"/>
                <w:sz w:val="20"/>
                <w:szCs w:val="20"/>
              </w:rPr>
            </w:pPr>
            <w:r w:rsidRPr="005D68A8">
              <w:rPr>
                <w:rFonts w:ascii="Calibri" w:hAnsi="Calibri"/>
                <w:sz w:val="20"/>
                <w:szCs w:val="20"/>
              </w:rPr>
              <w:t>854.171,43</w:t>
            </w:r>
          </w:p>
        </w:tc>
        <w:tc>
          <w:tcPr>
            <w:tcW w:w="1380" w:type="dxa"/>
            <w:tcBorders>
              <w:top w:val="nil"/>
              <w:left w:val="nil"/>
              <w:bottom w:val="single" w:sz="4" w:space="0" w:color="auto"/>
              <w:right w:val="single" w:sz="4" w:space="0" w:color="auto"/>
            </w:tcBorders>
            <w:shd w:val="clear" w:color="auto" w:fill="auto"/>
            <w:noWrap/>
            <w:vAlign w:val="center"/>
            <w:hideMark/>
          </w:tcPr>
          <w:p w14:paraId="2B63C506" w14:textId="77777777" w:rsidR="007C74A2" w:rsidRDefault="007C74A2">
            <w:pPr>
              <w:jc w:val="right"/>
              <w:rPr>
                <w:rFonts w:ascii="Calibri" w:hAnsi="Calibri"/>
                <w:sz w:val="20"/>
                <w:szCs w:val="20"/>
              </w:rPr>
            </w:pPr>
            <w:r>
              <w:rPr>
                <w:rFonts w:ascii="Calibri" w:hAnsi="Calibri"/>
                <w:sz w:val="20"/>
                <w:szCs w:val="20"/>
              </w:rPr>
              <w:t>61,66</w:t>
            </w:r>
          </w:p>
        </w:tc>
      </w:tr>
      <w:tr w:rsidR="007C74A2" w:rsidRPr="005D68A8" w14:paraId="51B61B0E"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A174F3F" w14:textId="77777777" w:rsidR="007C74A2" w:rsidRPr="005D68A8" w:rsidRDefault="007C74A2" w:rsidP="005D68A8">
            <w:pPr>
              <w:jc w:val="left"/>
              <w:rPr>
                <w:rFonts w:ascii="Calibri" w:hAnsi="Calibri"/>
                <w:sz w:val="20"/>
                <w:szCs w:val="20"/>
              </w:rPr>
            </w:pPr>
            <w:r w:rsidRPr="005D68A8">
              <w:rPr>
                <w:rFonts w:ascii="Calibri" w:hAnsi="Calibri"/>
                <w:sz w:val="20"/>
                <w:szCs w:val="20"/>
              </w:rPr>
              <w:t>Опозиви депозити</w:t>
            </w:r>
          </w:p>
        </w:tc>
        <w:tc>
          <w:tcPr>
            <w:tcW w:w="2120" w:type="dxa"/>
            <w:tcBorders>
              <w:top w:val="nil"/>
              <w:left w:val="nil"/>
              <w:bottom w:val="single" w:sz="4" w:space="0" w:color="auto"/>
              <w:right w:val="single" w:sz="4" w:space="0" w:color="auto"/>
            </w:tcBorders>
            <w:shd w:val="clear" w:color="auto" w:fill="auto"/>
            <w:noWrap/>
            <w:vAlign w:val="center"/>
            <w:hideMark/>
          </w:tcPr>
          <w:p w14:paraId="5B47EA05"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600.000,00</w:t>
            </w:r>
          </w:p>
        </w:tc>
        <w:tc>
          <w:tcPr>
            <w:tcW w:w="2140" w:type="dxa"/>
            <w:tcBorders>
              <w:top w:val="nil"/>
              <w:left w:val="nil"/>
              <w:bottom w:val="single" w:sz="4" w:space="0" w:color="auto"/>
              <w:right w:val="single" w:sz="4" w:space="0" w:color="auto"/>
            </w:tcBorders>
            <w:shd w:val="clear" w:color="auto" w:fill="auto"/>
            <w:noWrap/>
            <w:vAlign w:val="center"/>
            <w:hideMark/>
          </w:tcPr>
          <w:p w14:paraId="70E99C41" w14:textId="77777777" w:rsidR="007C74A2" w:rsidRPr="005D68A8" w:rsidRDefault="007C74A2" w:rsidP="005D68A8">
            <w:pPr>
              <w:jc w:val="right"/>
              <w:rPr>
                <w:rFonts w:ascii="Calibri" w:hAnsi="Calibri"/>
                <w:sz w:val="20"/>
                <w:szCs w:val="20"/>
              </w:rPr>
            </w:pPr>
            <w:r w:rsidRPr="005D68A8">
              <w:rPr>
                <w:rFonts w:ascii="Calibri" w:hAnsi="Calibri"/>
                <w:sz w:val="20"/>
                <w:szCs w:val="20"/>
              </w:rPr>
              <w:t>100.000,00</w:t>
            </w:r>
          </w:p>
        </w:tc>
        <w:tc>
          <w:tcPr>
            <w:tcW w:w="1380" w:type="dxa"/>
            <w:tcBorders>
              <w:top w:val="nil"/>
              <w:left w:val="nil"/>
              <w:bottom w:val="single" w:sz="4" w:space="0" w:color="auto"/>
              <w:right w:val="single" w:sz="4" w:space="0" w:color="auto"/>
            </w:tcBorders>
            <w:shd w:val="clear" w:color="auto" w:fill="auto"/>
            <w:noWrap/>
            <w:vAlign w:val="center"/>
            <w:hideMark/>
          </w:tcPr>
          <w:p w14:paraId="4D1C4CAB" w14:textId="77777777" w:rsidR="007C74A2" w:rsidRDefault="007C74A2">
            <w:pPr>
              <w:jc w:val="right"/>
              <w:rPr>
                <w:rFonts w:ascii="Calibri" w:hAnsi="Calibri"/>
                <w:sz w:val="20"/>
                <w:szCs w:val="20"/>
              </w:rPr>
            </w:pPr>
            <w:r>
              <w:rPr>
                <w:rFonts w:ascii="Calibri" w:hAnsi="Calibri"/>
                <w:sz w:val="20"/>
                <w:szCs w:val="20"/>
              </w:rPr>
              <w:t>16,67</w:t>
            </w:r>
          </w:p>
        </w:tc>
      </w:tr>
      <w:tr w:rsidR="007C74A2" w:rsidRPr="005D68A8" w14:paraId="596CB762"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238C73E" w14:textId="77777777" w:rsidR="007C74A2" w:rsidRPr="005D68A8" w:rsidRDefault="007C74A2" w:rsidP="005D68A8">
            <w:pPr>
              <w:jc w:val="left"/>
              <w:rPr>
                <w:rFonts w:ascii="Calibri" w:hAnsi="Calibri"/>
                <w:sz w:val="20"/>
                <w:szCs w:val="20"/>
              </w:rPr>
            </w:pPr>
            <w:r w:rsidRPr="005D68A8">
              <w:rPr>
                <w:rFonts w:ascii="Calibri" w:hAnsi="Calibri"/>
                <w:sz w:val="20"/>
                <w:szCs w:val="20"/>
              </w:rPr>
              <w:t>Потраживањa</w:t>
            </w:r>
          </w:p>
        </w:tc>
        <w:tc>
          <w:tcPr>
            <w:tcW w:w="2120" w:type="dxa"/>
            <w:tcBorders>
              <w:top w:val="nil"/>
              <w:left w:val="nil"/>
              <w:bottom w:val="single" w:sz="4" w:space="0" w:color="auto"/>
              <w:right w:val="single" w:sz="4" w:space="0" w:color="auto"/>
            </w:tcBorders>
            <w:shd w:val="clear" w:color="auto" w:fill="auto"/>
            <w:noWrap/>
            <w:vAlign w:val="center"/>
            <w:hideMark/>
          </w:tcPr>
          <w:p w14:paraId="67408996"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301.102,00</w:t>
            </w:r>
          </w:p>
        </w:tc>
        <w:tc>
          <w:tcPr>
            <w:tcW w:w="2140" w:type="dxa"/>
            <w:tcBorders>
              <w:top w:val="nil"/>
              <w:left w:val="nil"/>
              <w:bottom w:val="single" w:sz="4" w:space="0" w:color="auto"/>
              <w:right w:val="single" w:sz="4" w:space="0" w:color="auto"/>
            </w:tcBorders>
            <w:shd w:val="clear" w:color="auto" w:fill="auto"/>
            <w:noWrap/>
            <w:vAlign w:val="center"/>
            <w:hideMark/>
          </w:tcPr>
          <w:p w14:paraId="31EB2732"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541.728,17</w:t>
            </w:r>
          </w:p>
        </w:tc>
        <w:tc>
          <w:tcPr>
            <w:tcW w:w="1380" w:type="dxa"/>
            <w:tcBorders>
              <w:top w:val="nil"/>
              <w:left w:val="nil"/>
              <w:bottom w:val="single" w:sz="4" w:space="0" w:color="auto"/>
              <w:right w:val="single" w:sz="4" w:space="0" w:color="auto"/>
            </w:tcBorders>
            <w:shd w:val="clear" w:color="auto" w:fill="auto"/>
            <w:noWrap/>
            <w:vAlign w:val="center"/>
            <w:hideMark/>
          </w:tcPr>
          <w:p w14:paraId="254B6BA1" w14:textId="77777777" w:rsidR="007C74A2" w:rsidRDefault="007C74A2">
            <w:pPr>
              <w:jc w:val="right"/>
              <w:rPr>
                <w:rFonts w:ascii="Calibri" w:hAnsi="Calibri"/>
                <w:sz w:val="20"/>
                <w:szCs w:val="20"/>
              </w:rPr>
            </w:pPr>
            <w:r>
              <w:rPr>
                <w:rFonts w:ascii="Calibri" w:hAnsi="Calibri"/>
                <w:sz w:val="20"/>
                <w:szCs w:val="20"/>
              </w:rPr>
              <w:t>179,92</w:t>
            </w:r>
          </w:p>
        </w:tc>
      </w:tr>
      <w:tr w:rsidR="007C74A2" w:rsidRPr="005D68A8" w14:paraId="04DE7328"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AC417C6" w14:textId="77777777" w:rsidR="007C74A2" w:rsidRPr="005D68A8" w:rsidRDefault="007C74A2" w:rsidP="005D68A8">
            <w:pPr>
              <w:jc w:val="left"/>
              <w:rPr>
                <w:rFonts w:ascii="Calibri" w:hAnsi="Calibri"/>
                <w:sz w:val="20"/>
                <w:szCs w:val="20"/>
              </w:rPr>
            </w:pPr>
            <w:r w:rsidRPr="005D68A8">
              <w:rPr>
                <w:rFonts w:ascii="Calibri" w:hAnsi="Calibri"/>
                <w:sz w:val="20"/>
                <w:szCs w:val="20"/>
              </w:rPr>
              <w:t>Хартије од вриједности</w:t>
            </w:r>
          </w:p>
        </w:tc>
        <w:tc>
          <w:tcPr>
            <w:tcW w:w="2120" w:type="dxa"/>
            <w:tcBorders>
              <w:top w:val="nil"/>
              <w:left w:val="nil"/>
              <w:bottom w:val="single" w:sz="4" w:space="0" w:color="auto"/>
              <w:right w:val="single" w:sz="4" w:space="0" w:color="auto"/>
            </w:tcBorders>
            <w:shd w:val="clear" w:color="auto" w:fill="auto"/>
            <w:noWrap/>
            <w:vAlign w:val="center"/>
            <w:hideMark/>
          </w:tcPr>
          <w:p w14:paraId="0FD0D35C"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11.481.679,00</w:t>
            </w:r>
          </w:p>
        </w:tc>
        <w:tc>
          <w:tcPr>
            <w:tcW w:w="2140" w:type="dxa"/>
            <w:tcBorders>
              <w:top w:val="nil"/>
              <w:left w:val="nil"/>
              <w:bottom w:val="single" w:sz="4" w:space="0" w:color="auto"/>
              <w:right w:val="single" w:sz="4" w:space="0" w:color="auto"/>
            </w:tcBorders>
            <w:shd w:val="clear" w:color="auto" w:fill="auto"/>
            <w:noWrap/>
            <w:vAlign w:val="center"/>
            <w:hideMark/>
          </w:tcPr>
          <w:p w14:paraId="59492E63" w14:textId="77777777" w:rsidR="007C74A2" w:rsidRPr="005D68A8" w:rsidRDefault="007C74A2" w:rsidP="005D68A8">
            <w:pPr>
              <w:jc w:val="right"/>
              <w:rPr>
                <w:rFonts w:ascii="Calibri" w:hAnsi="Calibri"/>
                <w:sz w:val="20"/>
                <w:szCs w:val="20"/>
              </w:rPr>
            </w:pPr>
            <w:r w:rsidRPr="005D68A8">
              <w:rPr>
                <w:rFonts w:ascii="Calibri" w:hAnsi="Calibri"/>
                <w:sz w:val="20"/>
                <w:szCs w:val="20"/>
              </w:rPr>
              <w:t>11.641.849,00</w:t>
            </w:r>
          </w:p>
        </w:tc>
        <w:tc>
          <w:tcPr>
            <w:tcW w:w="1380" w:type="dxa"/>
            <w:tcBorders>
              <w:top w:val="nil"/>
              <w:left w:val="nil"/>
              <w:bottom w:val="single" w:sz="4" w:space="0" w:color="auto"/>
              <w:right w:val="single" w:sz="4" w:space="0" w:color="auto"/>
            </w:tcBorders>
            <w:shd w:val="clear" w:color="auto" w:fill="auto"/>
            <w:noWrap/>
            <w:vAlign w:val="center"/>
            <w:hideMark/>
          </w:tcPr>
          <w:p w14:paraId="67856E1E" w14:textId="77777777" w:rsidR="007C74A2" w:rsidRDefault="007C74A2">
            <w:pPr>
              <w:jc w:val="right"/>
              <w:rPr>
                <w:rFonts w:ascii="Calibri" w:hAnsi="Calibri"/>
                <w:sz w:val="20"/>
                <w:szCs w:val="20"/>
              </w:rPr>
            </w:pPr>
            <w:r>
              <w:rPr>
                <w:rFonts w:ascii="Calibri" w:hAnsi="Calibri"/>
                <w:sz w:val="20"/>
                <w:szCs w:val="20"/>
              </w:rPr>
              <w:t>101,40</w:t>
            </w:r>
          </w:p>
        </w:tc>
      </w:tr>
      <w:tr w:rsidR="007C74A2" w:rsidRPr="005D68A8" w14:paraId="1496AA83"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4F47B7A" w14:textId="77777777" w:rsidR="007C74A2" w:rsidRPr="005D68A8" w:rsidRDefault="007C74A2" w:rsidP="005D68A8">
            <w:pPr>
              <w:jc w:val="left"/>
              <w:rPr>
                <w:rFonts w:ascii="Calibri" w:hAnsi="Calibri"/>
                <w:sz w:val="20"/>
                <w:szCs w:val="20"/>
              </w:rPr>
            </w:pPr>
            <w:r w:rsidRPr="005D68A8">
              <w:rPr>
                <w:rFonts w:ascii="Calibri" w:hAnsi="Calibri"/>
                <w:sz w:val="20"/>
                <w:szCs w:val="20"/>
              </w:rPr>
              <w:t>Остали пласмани и АВР</w:t>
            </w:r>
          </w:p>
        </w:tc>
        <w:tc>
          <w:tcPr>
            <w:tcW w:w="2120" w:type="dxa"/>
            <w:tcBorders>
              <w:top w:val="nil"/>
              <w:left w:val="nil"/>
              <w:bottom w:val="single" w:sz="4" w:space="0" w:color="auto"/>
              <w:right w:val="single" w:sz="4" w:space="0" w:color="auto"/>
            </w:tcBorders>
            <w:shd w:val="clear" w:color="auto" w:fill="auto"/>
            <w:noWrap/>
            <w:vAlign w:val="center"/>
            <w:hideMark/>
          </w:tcPr>
          <w:p w14:paraId="1231EF22"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6.097.553,00</w:t>
            </w:r>
          </w:p>
        </w:tc>
        <w:tc>
          <w:tcPr>
            <w:tcW w:w="2140" w:type="dxa"/>
            <w:tcBorders>
              <w:top w:val="nil"/>
              <w:left w:val="nil"/>
              <w:bottom w:val="single" w:sz="4" w:space="0" w:color="auto"/>
              <w:right w:val="single" w:sz="4" w:space="0" w:color="auto"/>
            </w:tcBorders>
            <w:shd w:val="clear" w:color="auto" w:fill="auto"/>
            <w:noWrap/>
            <w:vAlign w:val="center"/>
            <w:hideMark/>
          </w:tcPr>
          <w:p w14:paraId="20AFAFD7" w14:textId="77777777" w:rsidR="007C74A2" w:rsidRPr="005D68A8" w:rsidRDefault="007C74A2" w:rsidP="005D68A8">
            <w:pPr>
              <w:jc w:val="right"/>
              <w:rPr>
                <w:rFonts w:ascii="Calibri" w:hAnsi="Calibri"/>
                <w:sz w:val="20"/>
                <w:szCs w:val="20"/>
              </w:rPr>
            </w:pPr>
            <w:r w:rsidRPr="005D68A8">
              <w:rPr>
                <w:rFonts w:ascii="Calibri" w:hAnsi="Calibri"/>
                <w:sz w:val="20"/>
                <w:szCs w:val="20"/>
              </w:rPr>
              <w:t>7.416.112,49</w:t>
            </w:r>
          </w:p>
        </w:tc>
        <w:tc>
          <w:tcPr>
            <w:tcW w:w="1380" w:type="dxa"/>
            <w:tcBorders>
              <w:top w:val="nil"/>
              <w:left w:val="nil"/>
              <w:bottom w:val="single" w:sz="4" w:space="0" w:color="auto"/>
              <w:right w:val="single" w:sz="4" w:space="0" w:color="auto"/>
            </w:tcBorders>
            <w:shd w:val="clear" w:color="auto" w:fill="auto"/>
            <w:noWrap/>
            <w:vAlign w:val="center"/>
            <w:hideMark/>
          </w:tcPr>
          <w:p w14:paraId="0EF97F55" w14:textId="77777777" w:rsidR="007C74A2" w:rsidRDefault="007C74A2">
            <w:pPr>
              <w:jc w:val="right"/>
              <w:rPr>
                <w:rFonts w:ascii="Calibri" w:hAnsi="Calibri"/>
                <w:sz w:val="20"/>
                <w:szCs w:val="20"/>
              </w:rPr>
            </w:pPr>
            <w:r>
              <w:rPr>
                <w:rFonts w:ascii="Calibri" w:hAnsi="Calibri"/>
                <w:sz w:val="20"/>
                <w:szCs w:val="20"/>
              </w:rPr>
              <w:t>121,62</w:t>
            </w:r>
          </w:p>
        </w:tc>
      </w:tr>
      <w:tr w:rsidR="007C74A2" w:rsidRPr="005D68A8" w14:paraId="03D1A9FF"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731813C4"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Укупно стална средства</w:t>
            </w:r>
          </w:p>
        </w:tc>
        <w:tc>
          <w:tcPr>
            <w:tcW w:w="2120" w:type="dxa"/>
            <w:tcBorders>
              <w:top w:val="nil"/>
              <w:left w:val="nil"/>
              <w:bottom w:val="single" w:sz="4" w:space="0" w:color="auto"/>
              <w:right w:val="single" w:sz="4" w:space="0" w:color="auto"/>
            </w:tcBorders>
            <w:shd w:val="clear" w:color="000000" w:fill="C5D9F1"/>
            <w:noWrap/>
            <w:vAlign w:val="center"/>
            <w:hideMark/>
          </w:tcPr>
          <w:p w14:paraId="7DBB3E89"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375.643,00</w:t>
            </w:r>
          </w:p>
        </w:tc>
        <w:tc>
          <w:tcPr>
            <w:tcW w:w="2140" w:type="dxa"/>
            <w:tcBorders>
              <w:top w:val="nil"/>
              <w:left w:val="nil"/>
              <w:bottom w:val="single" w:sz="4" w:space="0" w:color="auto"/>
              <w:right w:val="single" w:sz="4" w:space="0" w:color="auto"/>
            </w:tcBorders>
            <w:shd w:val="clear" w:color="000000" w:fill="C5D9F1"/>
            <w:noWrap/>
            <w:vAlign w:val="center"/>
            <w:hideMark/>
          </w:tcPr>
          <w:p w14:paraId="135B032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325.769,77</w:t>
            </w:r>
          </w:p>
        </w:tc>
        <w:tc>
          <w:tcPr>
            <w:tcW w:w="1380" w:type="dxa"/>
            <w:tcBorders>
              <w:top w:val="nil"/>
              <w:left w:val="nil"/>
              <w:bottom w:val="single" w:sz="4" w:space="0" w:color="auto"/>
              <w:right w:val="single" w:sz="4" w:space="0" w:color="auto"/>
            </w:tcBorders>
            <w:shd w:val="clear" w:color="000000" w:fill="C5D9F1"/>
            <w:noWrap/>
            <w:vAlign w:val="center"/>
            <w:hideMark/>
          </w:tcPr>
          <w:p w14:paraId="2595EDD4" w14:textId="77777777" w:rsidR="007C74A2" w:rsidRDefault="007C74A2">
            <w:pPr>
              <w:jc w:val="right"/>
              <w:rPr>
                <w:rFonts w:ascii="Calibri" w:hAnsi="Calibri"/>
                <w:b/>
                <w:bCs/>
                <w:sz w:val="20"/>
                <w:szCs w:val="20"/>
              </w:rPr>
            </w:pPr>
            <w:r>
              <w:rPr>
                <w:rFonts w:ascii="Calibri" w:hAnsi="Calibri"/>
                <w:b/>
                <w:bCs/>
                <w:sz w:val="20"/>
                <w:szCs w:val="20"/>
              </w:rPr>
              <w:t>86,72</w:t>
            </w:r>
          </w:p>
        </w:tc>
      </w:tr>
      <w:tr w:rsidR="007C74A2" w:rsidRPr="005D68A8" w14:paraId="297E84EE"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D735628" w14:textId="77777777" w:rsidR="007C74A2" w:rsidRPr="005D68A8" w:rsidRDefault="007C74A2" w:rsidP="005D68A8">
            <w:pPr>
              <w:jc w:val="left"/>
              <w:rPr>
                <w:rFonts w:ascii="Calibri" w:hAnsi="Calibri"/>
                <w:sz w:val="20"/>
                <w:szCs w:val="20"/>
              </w:rPr>
            </w:pPr>
            <w:r w:rsidRPr="005D68A8">
              <w:rPr>
                <w:rFonts w:ascii="Calibri" w:hAnsi="Calibri"/>
                <w:sz w:val="20"/>
                <w:szCs w:val="20"/>
              </w:rPr>
              <w:t>Основна средства и улагања у некретнине</w:t>
            </w:r>
          </w:p>
        </w:tc>
        <w:tc>
          <w:tcPr>
            <w:tcW w:w="2120" w:type="dxa"/>
            <w:tcBorders>
              <w:top w:val="nil"/>
              <w:left w:val="nil"/>
              <w:bottom w:val="single" w:sz="4" w:space="0" w:color="auto"/>
              <w:right w:val="single" w:sz="4" w:space="0" w:color="auto"/>
            </w:tcBorders>
            <w:shd w:val="clear" w:color="auto" w:fill="auto"/>
            <w:noWrap/>
            <w:vAlign w:val="center"/>
            <w:hideMark/>
          </w:tcPr>
          <w:p w14:paraId="6CBD110C"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225.121,00</w:t>
            </w:r>
          </w:p>
        </w:tc>
        <w:tc>
          <w:tcPr>
            <w:tcW w:w="2140" w:type="dxa"/>
            <w:tcBorders>
              <w:top w:val="nil"/>
              <w:left w:val="nil"/>
              <w:bottom w:val="single" w:sz="4" w:space="0" w:color="auto"/>
              <w:right w:val="single" w:sz="4" w:space="0" w:color="auto"/>
            </w:tcBorders>
            <w:shd w:val="clear" w:color="auto" w:fill="auto"/>
            <w:noWrap/>
            <w:vAlign w:val="center"/>
            <w:hideMark/>
          </w:tcPr>
          <w:p w14:paraId="2C43F55E" w14:textId="77777777" w:rsidR="007C74A2" w:rsidRPr="005D68A8" w:rsidRDefault="007C74A2" w:rsidP="005D68A8">
            <w:pPr>
              <w:jc w:val="right"/>
              <w:rPr>
                <w:rFonts w:ascii="Calibri" w:hAnsi="Calibri"/>
                <w:sz w:val="20"/>
                <w:szCs w:val="20"/>
              </w:rPr>
            </w:pPr>
            <w:r w:rsidRPr="005D68A8">
              <w:rPr>
                <w:rFonts w:ascii="Calibri" w:hAnsi="Calibri"/>
                <w:sz w:val="20"/>
                <w:szCs w:val="20"/>
              </w:rPr>
              <w:t>177.822,52</w:t>
            </w:r>
          </w:p>
        </w:tc>
        <w:tc>
          <w:tcPr>
            <w:tcW w:w="1380" w:type="dxa"/>
            <w:tcBorders>
              <w:top w:val="nil"/>
              <w:left w:val="nil"/>
              <w:bottom w:val="single" w:sz="4" w:space="0" w:color="auto"/>
              <w:right w:val="single" w:sz="4" w:space="0" w:color="auto"/>
            </w:tcBorders>
            <w:shd w:val="clear" w:color="auto" w:fill="auto"/>
            <w:noWrap/>
            <w:vAlign w:val="center"/>
            <w:hideMark/>
          </w:tcPr>
          <w:p w14:paraId="4628E24D" w14:textId="77777777" w:rsidR="007C74A2" w:rsidRDefault="007C74A2">
            <w:pPr>
              <w:jc w:val="right"/>
              <w:rPr>
                <w:rFonts w:ascii="Calibri" w:hAnsi="Calibri"/>
                <w:sz w:val="20"/>
                <w:szCs w:val="20"/>
              </w:rPr>
            </w:pPr>
            <w:r>
              <w:rPr>
                <w:rFonts w:ascii="Calibri" w:hAnsi="Calibri"/>
                <w:sz w:val="20"/>
                <w:szCs w:val="20"/>
              </w:rPr>
              <w:t>78,99</w:t>
            </w:r>
          </w:p>
        </w:tc>
      </w:tr>
      <w:tr w:rsidR="007C74A2" w:rsidRPr="005D68A8" w14:paraId="5D2E02AD"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5BE79F2" w14:textId="77777777" w:rsidR="007C74A2" w:rsidRPr="005D68A8" w:rsidRDefault="007C74A2" w:rsidP="005D68A8">
            <w:pPr>
              <w:jc w:val="left"/>
              <w:rPr>
                <w:rFonts w:ascii="Calibri" w:hAnsi="Calibri"/>
                <w:sz w:val="20"/>
                <w:szCs w:val="20"/>
              </w:rPr>
            </w:pPr>
            <w:r w:rsidRPr="005D68A8">
              <w:rPr>
                <w:rFonts w:ascii="Calibri" w:hAnsi="Calibri"/>
                <w:sz w:val="20"/>
                <w:szCs w:val="20"/>
              </w:rPr>
              <w:t>Остала нематеријална средства</w:t>
            </w:r>
          </w:p>
        </w:tc>
        <w:tc>
          <w:tcPr>
            <w:tcW w:w="2120" w:type="dxa"/>
            <w:tcBorders>
              <w:top w:val="nil"/>
              <w:left w:val="nil"/>
              <w:bottom w:val="single" w:sz="4" w:space="0" w:color="auto"/>
              <w:right w:val="single" w:sz="4" w:space="0" w:color="auto"/>
            </w:tcBorders>
            <w:shd w:val="clear" w:color="auto" w:fill="auto"/>
            <w:noWrap/>
            <w:vAlign w:val="center"/>
            <w:hideMark/>
          </w:tcPr>
          <w:p w14:paraId="275930CD" w14:textId="77777777" w:rsidR="007C74A2" w:rsidRPr="005D68A8" w:rsidRDefault="007C74A2" w:rsidP="005D68A8">
            <w:pPr>
              <w:jc w:val="right"/>
              <w:rPr>
                <w:rFonts w:ascii="Calibri" w:hAnsi="Calibri"/>
                <w:sz w:val="20"/>
                <w:szCs w:val="20"/>
              </w:rPr>
            </w:pPr>
            <w:r w:rsidRPr="005D68A8">
              <w:rPr>
                <w:rFonts w:ascii="Calibri" w:hAnsi="Calibri"/>
                <w:sz w:val="20"/>
                <w:szCs w:val="20"/>
              </w:rPr>
              <w:t>48.662,00</w:t>
            </w:r>
          </w:p>
        </w:tc>
        <w:tc>
          <w:tcPr>
            <w:tcW w:w="2140" w:type="dxa"/>
            <w:tcBorders>
              <w:top w:val="nil"/>
              <w:left w:val="nil"/>
              <w:bottom w:val="single" w:sz="4" w:space="0" w:color="auto"/>
              <w:right w:val="single" w:sz="4" w:space="0" w:color="auto"/>
            </w:tcBorders>
            <w:shd w:val="clear" w:color="auto" w:fill="auto"/>
            <w:noWrap/>
            <w:vAlign w:val="center"/>
            <w:hideMark/>
          </w:tcPr>
          <w:p w14:paraId="23B1F3ED" w14:textId="77777777" w:rsidR="007C74A2" w:rsidRPr="005D68A8" w:rsidRDefault="007C74A2" w:rsidP="005D68A8">
            <w:pPr>
              <w:jc w:val="right"/>
              <w:rPr>
                <w:rFonts w:ascii="Calibri" w:hAnsi="Calibri"/>
                <w:sz w:val="20"/>
                <w:szCs w:val="20"/>
              </w:rPr>
            </w:pPr>
            <w:r w:rsidRPr="005D68A8">
              <w:rPr>
                <w:rFonts w:ascii="Calibri" w:hAnsi="Calibri"/>
                <w:sz w:val="20"/>
                <w:szCs w:val="20"/>
              </w:rPr>
              <w:t>49.318,25</w:t>
            </w:r>
          </w:p>
        </w:tc>
        <w:tc>
          <w:tcPr>
            <w:tcW w:w="1380" w:type="dxa"/>
            <w:tcBorders>
              <w:top w:val="nil"/>
              <w:left w:val="nil"/>
              <w:bottom w:val="single" w:sz="4" w:space="0" w:color="auto"/>
              <w:right w:val="single" w:sz="4" w:space="0" w:color="auto"/>
            </w:tcBorders>
            <w:shd w:val="clear" w:color="auto" w:fill="auto"/>
            <w:noWrap/>
            <w:vAlign w:val="center"/>
            <w:hideMark/>
          </w:tcPr>
          <w:p w14:paraId="7CE7A190" w14:textId="77777777" w:rsidR="007C74A2" w:rsidRDefault="007C74A2">
            <w:pPr>
              <w:jc w:val="right"/>
              <w:rPr>
                <w:rFonts w:ascii="Calibri" w:hAnsi="Calibri"/>
                <w:sz w:val="20"/>
                <w:szCs w:val="20"/>
              </w:rPr>
            </w:pPr>
            <w:r>
              <w:rPr>
                <w:rFonts w:ascii="Calibri" w:hAnsi="Calibri"/>
                <w:sz w:val="20"/>
                <w:szCs w:val="20"/>
              </w:rPr>
              <w:t>101,35</w:t>
            </w:r>
          </w:p>
        </w:tc>
      </w:tr>
      <w:tr w:rsidR="007C74A2" w:rsidRPr="005D68A8" w14:paraId="69203419"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929A04E"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Стална средства намијењена продаји</w:t>
            </w:r>
          </w:p>
        </w:tc>
        <w:tc>
          <w:tcPr>
            <w:tcW w:w="2120" w:type="dxa"/>
            <w:tcBorders>
              <w:top w:val="nil"/>
              <w:left w:val="nil"/>
              <w:bottom w:val="single" w:sz="4" w:space="0" w:color="auto"/>
              <w:right w:val="single" w:sz="4" w:space="0" w:color="auto"/>
            </w:tcBorders>
            <w:shd w:val="clear" w:color="auto" w:fill="auto"/>
            <w:noWrap/>
            <w:vAlign w:val="center"/>
            <w:hideMark/>
          </w:tcPr>
          <w:p w14:paraId="5CF7BB08"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101.860,00</w:t>
            </w:r>
          </w:p>
        </w:tc>
        <w:tc>
          <w:tcPr>
            <w:tcW w:w="2140" w:type="dxa"/>
            <w:tcBorders>
              <w:top w:val="nil"/>
              <w:left w:val="nil"/>
              <w:bottom w:val="single" w:sz="4" w:space="0" w:color="auto"/>
              <w:right w:val="single" w:sz="4" w:space="0" w:color="auto"/>
            </w:tcBorders>
            <w:shd w:val="clear" w:color="auto" w:fill="auto"/>
            <w:noWrap/>
            <w:vAlign w:val="center"/>
            <w:hideMark/>
          </w:tcPr>
          <w:p w14:paraId="26CF14EC" w14:textId="77777777" w:rsidR="007C74A2" w:rsidRPr="005D68A8" w:rsidRDefault="007C74A2" w:rsidP="005D68A8">
            <w:pPr>
              <w:jc w:val="right"/>
              <w:rPr>
                <w:rFonts w:ascii="Calibri" w:hAnsi="Calibri"/>
                <w:sz w:val="20"/>
                <w:szCs w:val="20"/>
              </w:rPr>
            </w:pPr>
            <w:r w:rsidRPr="005D68A8">
              <w:rPr>
                <w:rFonts w:ascii="Calibri" w:hAnsi="Calibri"/>
                <w:sz w:val="20"/>
                <w:szCs w:val="20"/>
              </w:rPr>
              <w:t>98.629,00</w:t>
            </w:r>
          </w:p>
        </w:tc>
        <w:tc>
          <w:tcPr>
            <w:tcW w:w="1380" w:type="dxa"/>
            <w:tcBorders>
              <w:top w:val="nil"/>
              <w:left w:val="nil"/>
              <w:bottom w:val="single" w:sz="4" w:space="0" w:color="auto"/>
              <w:right w:val="single" w:sz="4" w:space="0" w:color="auto"/>
            </w:tcBorders>
            <w:shd w:val="clear" w:color="auto" w:fill="auto"/>
            <w:noWrap/>
            <w:vAlign w:val="center"/>
            <w:hideMark/>
          </w:tcPr>
          <w:p w14:paraId="7162749A" w14:textId="77777777" w:rsidR="007C74A2" w:rsidRDefault="007C74A2">
            <w:pPr>
              <w:jc w:val="right"/>
              <w:rPr>
                <w:rFonts w:ascii="Calibri" w:hAnsi="Calibri"/>
                <w:sz w:val="20"/>
                <w:szCs w:val="20"/>
              </w:rPr>
            </w:pPr>
            <w:r>
              <w:rPr>
                <w:rFonts w:ascii="Calibri" w:hAnsi="Calibri"/>
                <w:sz w:val="20"/>
                <w:szCs w:val="20"/>
              </w:rPr>
              <w:t>96,83</w:t>
            </w:r>
          </w:p>
        </w:tc>
      </w:tr>
      <w:tr w:rsidR="007C74A2" w:rsidRPr="005D68A8" w14:paraId="6A4E929A"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37BA28A"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ПОСЛОВНА АКТИВА</w:t>
            </w:r>
          </w:p>
        </w:tc>
        <w:tc>
          <w:tcPr>
            <w:tcW w:w="2120" w:type="dxa"/>
            <w:tcBorders>
              <w:top w:val="nil"/>
              <w:left w:val="nil"/>
              <w:bottom w:val="single" w:sz="4" w:space="0" w:color="auto"/>
              <w:right w:val="single" w:sz="4" w:space="0" w:color="auto"/>
            </w:tcBorders>
            <w:shd w:val="clear" w:color="auto" w:fill="auto"/>
            <w:noWrap/>
            <w:vAlign w:val="center"/>
            <w:hideMark/>
          </w:tcPr>
          <w:p w14:paraId="09173A7D"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20.241.193,00</w:t>
            </w:r>
          </w:p>
        </w:tc>
        <w:tc>
          <w:tcPr>
            <w:tcW w:w="2140" w:type="dxa"/>
            <w:tcBorders>
              <w:top w:val="nil"/>
              <w:left w:val="nil"/>
              <w:bottom w:val="single" w:sz="4" w:space="0" w:color="auto"/>
              <w:right w:val="single" w:sz="4" w:space="0" w:color="auto"/>
            </w:tcBorders>
            <w:shd w:val="clear" w:color="auto" w:fill="auto"/>
            <w:noWrap/>
            <w:vAlign w:val="center"/>
            <w:hideMark/>
          </w:tcPr>
          <w:p w14:paraId="5B2B8348"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20.879.630,86</w:t>
            </w:r>
          </w:p>
        </w:tc>
        <w:tc>
          <w:tcPr>
            <w:tcW w:w="1380" w:type="dxa"/>
            <w:tcBorders>
              <w:top w:val="nil"/>
              <w:left w:val="nil"/>
              <w:bottom w:val="single" w:sz="4" w:space="0" w:color="auto"/>
              <w:right w:val="single" w:sz="4" w:space="0" w:color="auto"/>
            </w:tcBorders>
            <w:shd w:val="clear" w:color="auto" w:fill="auto"/>
            <w:noWrap/>
            <w:vAlign w:val="center"/>
            <w:hideMark/>
          </w:tcPr>
          <w:p w14:paraId="2F585200" w14:textId="77777777" w:rsidR="007C74A2" w:rsidRDefault="007C74A2">
            <w:pPr>
              <w:jc w:val="right"/>
              <w:rPr>
                <w:rFonts w:ascii="Calibri" w:hAnsi="Calibri"/>
                <w:sz w:val="20"/>
                <w:szCs w:val="20"/>
              </w:rPr>
            </w:pPr>
            <w:r>
              <w:rPr>
                <w:rFonts w:ascii="Calibri" w:hAnsi="Calibri"/>
                <w:sz w:val="20"/>
                <w:szCs w:val="20"/>
              </w:rPr>
              <w:t>103,15</w:t>
            </w:r>
          </w:p>
        </w:tc>
      </w:tr>
      <w:tr w:rsidR="007C74A2" w:rsidRPr="005D68A8" w14:paraId="6FBD6A91"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35B1E85"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ВАНБИЛАНСНА АКТИВА</w:t>
            </w:r>
          </w:p>
        </w:tc>
        <w:tc>
          <w:tcPr>
            <w:tcW w:w="2120" w:type="dxa"/>
            <w:tcBorders>
              <w:top w:val="nil"/>
              <w:left w:val="nil"/>
              <w:bottom w:val="single" w:sz="4" w:space="0" w:color="auto"/>
              <w:right w:val="single" w:sz="4" w:space="0" w:color="auto"/>
            </w:tcBorders>
            <w:shd w:val="clear" w:color="auto" w:fill="auto"/>
            <w:noWrap/>
            <w:vAlign w:val="center"/>
            <w:hideMark/>
          </w:tcPr>
          <w:p w14:paraId="39AEC8D5"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42.519.116,00</w:t>
            </w:r>
          </w:p>
        </w:tc>
        <w:tc>
          <w:tcPr>
            <w:tcW w:w="2140" w:type="dxa"/>
            <w:tcBorders>
              <w:top w:val="nil"/>
              <w:left w:val="nil"/>
              <w:bottom w:val="single" w:sz="4" w:space="0" w:color="auto"/>
              <w:right w:val="single" w:sz="4" w:space="0" w:color="auto"/>
            </w:tcBorders>
            <w:shd w:val="clear" w:color="auto" w:fill="auto"/>
            <w:noWrap/>
            <w:vAlign w:val="center"/>
            <w:hideMark/>
          </w:tcPr>
          <w:p w14:paraId="015B582B"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53.569.487,72</w:t>
            </w:r>
          </w:p>
        </w:tc>
        <w:tc>
          <w:tcPr>
            <w:tcW w:w="1380" w:type="dxa"/>
            <w:tcBorders>
              <w:top w:val="nil"/>
              <w:left w:val="nil"/>
              <w:bottom w:val="single" w:sz="4" w:space="0" w:color="auto"/>
              <w:right w:val="single" w:sz="4" w:space="0" w:color="auto"/>
            </w:tcBorders>
            <w:shd w:val="clear" w:color="auto" w:fill="auto"/>
            <w:noWrap/>
            <w:vAlign w:val="center"/>
            <w:hideMark/>
          </w:tcPr>
          <w:p w14:paraId="2852135C" w14:textId="77777777" w:rsidR="007C74A2" w:rsidRDefault="007C74A2">
            <w:pPr>
              <w:jc w:val="right"/>
              <w:rPr>
                <w:rFonts w:ascii="Calibri" w:hAnsi="Calibri"/>
                <w:sz w:val="20"/>
                <w:szCs w:val="20"/>
              </w:rPr>
            </w:pPr>
            <w:r>
              <w:rPr>
                <w:rFonts w:ascii="Calibri" w:hAnsi="Calibri"/>
                <w:sz w:val="20"/>
                <w:szCs w:val="20"/>
              </w:rPr>
              <w:t>125,99</w:t>
            </w:r>
          </w:p>
        </w:tc>
      </w:tr>
      <w:tr w:rsidR="007C74A2" w:rsidRPr="005D68A8" w14:paraId="1B53370E"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8DB3E2"/>
            <w:vAlign w:val="center"/>
            <w:hideMark/>
          </w:tcPr>
          <w:p w14:paraId="50AE2038"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УКУПНА АКТИВА</w:t>
            </w:r>
          </w:p>
        </w:tc>
        <w:tc>
          <w:tcPr>
            <w:tcW w:w="2120" w:type="dxa"/>
            <w:tcBorders>
              <w:top w:val="nil"/>
              <w:left w:val="nil"/>
              <w:bottom w:val="single" w:sz="4" w:space="0" w:color="auto"/>
              <w:right w:val="single" w:sz="4" w:space="0" w:color="auto"/>
            </w:tcBorders>
            <w:shd w:val="clear" w:color="000000" w:fill="8DB3E2"/>
            <w:noWrap/>
            <w:vAlign w:val="center"/>
            <w:hideMark/>
          </w:tcPr>
          <w:p w14:paraId="4316D6FD"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62.760.309,00</w:t>
            </w:r>
          </w:p>
        </w:tc>
        <w:tc>
          <w:tcPr>
            <w:tcW w:w="2140" w:type="dxa"/>
            <w:tcBorders>
              <w:top w:val="nil"/>
              <w:left w:val="nil"/>
              <w:bottom w:val="single" w:sz="4" w:space="0" w:color="auto"/>
              <w:right w:val="single" w:sz="4" w:space="0" w:color="auto"/>
            </w:tcBorders>
            <w:shd w:val="clear" w:color="000000" w:fill="8DB3E2"/>
            <w:noWrap/>
            <w:vAlign w:val="center"/>
            <w:hideMark/>
          </w:tcPr>
          <w:p w14:paraId="5E428F29"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74.449.118,58</w:t>
            </w:r>
          </w:p>
        </w:tc>
        <w:tc>
          <w:tcPr>
            <w:tcW w:w="1380" w:type="dxa"/>
            <w:tcBorders>
              <w:top w:val="nil"/>
              <w:left w:val="nil"/>
              <w:bottom w:val="single" w:sz="4" w:space="0" w:color="auto"/>
              <w:right w:val="single" w:sz="4" w:space="0" w:color="auto"/>
            </w:tcBorders>
            <w:shd w:val="clear" w:color="000000" w:fill="8DB3E2"/>
            <w:noWrap/>
            <w:vAlign w:val="center"/>
            <w:hideMark/>
          </w:tcPr>
          <w:p w14:paraId="3A7AFD46" w14:textId="77777777" w:rsidR="007C74A2" w:rsidRDefault="007C74A2">
            <w:pPr>
              <w:jc w:val="right"/>
              <w:rPr>
                <w:rFonts w:ascii="Calibri" w:hAnsi="Calibri"/>
                <w:b/>
                <w:bCs/>
                <w:sz w:val="20"/>
                <w:szCs w:val="20"/>
              </w:rPr>
            </w:pPr>
            <w:r>
              <w:rPr>
                <w:rFonts w:ascii="Calibri" w:hAnsi="Calibri"/>
                <w:b/>
                <w:bCs/>
                <w:sz w:val="20"/>
                <w:szCs w:val="20"/>
              </w:rPr>
              <w:t>118,62</w:t>
            </w:r>
          </w:p>
        </w:tc>
      </w:tr>
      <w:tr w:rsidR="007C74A2" w:rsidRPr="005D68A8" w14:paraId="3764FB64"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6273D8A5"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Укупно обавезе</w:t>
            </w:r>
          </w:p>
        </w:tc>
        <w:tc>
          <w:tcPr>
            <w:tcW w:w="2120" w:type="dxa"/>
            <w:tcBorders>
              <w:top w:val="nil"/>
              <w:left w:val="nil"/>
              <w:bottom w:val="single" w:sz="4" w:space="0" w:color="auto"/>
              <w:right w:val="single" w:sz="4" w:space="0" w:color="auto"/>
            </w:tcBorders>
            <w:shd w:val="clear" w:color="000000" w:fill="C5D9F1"/>
            <w:noWrap/>
            <w:vAlign w:val="center"/>
            <w:hideMark/>
          </w:tcPr>
          <w:p w14:paraId="114B1380"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626.105,00</w:t>
            </w:r>
          </w:p>
        </w:tc>
        <w:tc>
          <w:tcPr>
            <w:tcW w:w="2140" w:type="dxa"/>
            <w:tcBorders>
              <w:top w:val="nil"/>
              <w:left w:val="nil"/>
              <w:bottom w:val="single" w:sz="4" w:space="0" w:color="auto"/>
              <w:right w:val="single" w:sz="4" w:space="0" w:color="auto"/>
            </w:tcBorders>
            <w:shd w:val="clear" w:color="000000" w:fill="C5D9F1"/>
            <w:noWrap/>
            <w:vAlign w:val="center"/>
            <w:hideMark/>
          </w:tcPr>
          <w:p w14:paraId="0837DC03"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3.050.241,61</w:t>
            </w:r>
          </w:p>
        </w:tc>
        <w:tc>
          <w:tcPr>
            <w:tcW w:w="1380" w:type="dxa"/>
            <w:tcBorders>
              <w:top w:val="nil"/>
              <w:left w:val="nil"/>
              <w:bottom w:val="single" w:sz="4" w:space="0" w:color="auto"/>
              <w:right w:val="single" w:sz="4" w:space="0" w:color="auto"/>
            </w:tcBorders>
            <w:shd w:val="clear" w:color="000000" w:fill="C5D9F1"/>
            <w:noWrap/>
            <w:vAlign w:val="center"/>
            <w:hideMark/>
          </w:tcPr>
          <w:p w14:paraId="62000FA4" w14:textId="77777777" w:rsidR="007C74A2" w:rsidRDefault="007C74A2">
            <w:pPr>
              <w:jc w:val="right"/>
              <w:rPr>
                <w:rFonts w:ascii="Calibri" w:hAnsi="Calibri"/>
                <w:b/>
                <w:bCs/>
                <w:sz w:val="20"/>
                <w:szCs w:val="20"/>
              </w:rPr>
            </w:pPr>
            <w:r>
              <w:rPr>
                <w:rFonts w:ascii="Calibri" w:hAnsi="Calibri"/>
                <w:b/>
                <w:bCs/>
                <w:sz w:val="20"/>
                <w:szCs w:val="20"/>
              </w:rPr>
              <w:t>487,18</w:t>
            </w:r>
          </w:p>
        </w:tc>
      </w:tr>
      <w:tr w:rsidR="007C74A2" w:rsidRPr="005D68A8" w14:paraId="3E166262"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80D0BFD" w14:textId="77777777" w:rsidR="007C74A2" w:rsidRPr="005D68A8" w:rsidRDefault="007C74A2" w:rsidP="005D68A8">
            <w:pPr>
              <w:jc w:val="left"/>
              <w:rPr>
                <w:rFonts w:ascii="Calibri" w:hAnsi="Calibri"/>
                <w:sz w:val="20"/>
                <w:szCs w:val="20"/>
              </w:rPr>
            </w:pPr>
            <w:r w:rsidRPr="005D68A8">
              <w:rPr>
                <w:rFonts w:ascii="Calibri" w:hAnsi="Calibri"/>
                <w:sz w:val="20"/>
                <w:szCs w:val="20"/>
              </w:rPr>
              <w:t>Обавезе за камату по основу осталих фин. обавеза</w:t>
            </w:r>
          </w:p>
        </w:tc>
        <w:tc>
          <w:tcPr>
            <w:tcW w:w="2120" w:type="dxa"/>
            <w:tcBorders>
              <w:top w:val="nil"/>
              <w:left w:val="nil"/>
              <w:bottom w:val="single" w:sz="4" w:space="0" w:color="auto"/>
              <w:right w:val="single" w:sz="4" w:space="0" w:color="auto"/>
            </w:tcBorders>
            <w:shd w:val="clear" w:color="auto" w:fill="auto"/>
            <w:noWrap/>
            <w:vAlign w:val="center"/>
            <w:hideMark/>
          </w:tcPr>
          <w:p w14:paraId="6791A886"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0,00</w:t>
            </w:r>
          </w:p>
        </w:tc>
        <w:tc>
          <w:tcPr>
            <w:tcW w:w="2140" w:type="dxa"/>
            <w:tcBorders>
              <w:top w:val="nil"/>
              <w:left w:val="nil"/>
              <w:bottom w:val="single" w:sz="4" w:space="0" w:color="auto"/>
              <w:right w:val="single" w:sz="4" w:space="0" w:color="auto"/>
            </w:tcBorders>
            <w:shd w:val="clear" w:color="auto" w:fill="auto"/>
            <w:noWrap/>
            <w:vAlign w:val="center"/>
            <w:hideMark/>
          </w:tcPr>
          <w:p w14:paraId="59FAFEAF"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288.993,46</w:t>
            </w:r>
          </w:p>
        </w:tc>
        <w:tc>
          <w:tcPr>
            <w:tcW w:w="1380" w:type="dxa"/>
            <w:tcBorders>
              <w:top w:val="nil"/>
              <w:left w:val="nil"/>
              <w:bottom w:val="single" w:sz="4" w:space="0" w:color="auto"/>
              <w:right w:val="single" w:sz="4" w:space="0" w:color="auto"/>
            </w:tcBorders>
            <w:shd w:val="clear" w:color="auto" w:fill="auto"/>
            <w:noWrap/>
            <w:vAlign w:val="center"/>
            <w:hideMark/>
          </w:tcPr>
          <w:p w14:paraId="0D096FE5"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32C8F1CE"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BC91A4C"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Обавезе за зараде и накнаде зарада</w:t>
            </w:r>
          </w:p>
        </w:tc>
        <w:tc>
          <w:tcPr>
            <w:tcW w:w="2120" w:type="dxa"/>
            <w:tcBorders>
              <w:top w:val="nil"/>
              <w:left w:val="nil"/>
              <w:bottom w:val="single" w:sz="4" w:space="0" w:color="auto"/>
              <w:right w:val="single" w:sz="4" w:space="0" w:color="auto"/>
            </w:tcBorders>
            <w:shd w:val="clear" w:color="auto" w:fill="auto"/>
            <w:noWrap/>
            <w:vAlign w:val="center"/>
            <w:hideMark/>
          </w:tcPr>
          <w:p w14:paraId="6D02C77F" w14:textId="77777777" w:rsidR="007C74A2" w:rsidRPr="005D68A8" w:rsidRDefault="007C74A2" w:rsidP="005D68A8">
            <w:pPr>
              <w:jc w:val="right"/>
              <w:rPr>
                <w:rFonts w:ascii="Calibri" w:hAnsi="Calibri"/>
                <w:sz w:val="20"/>
                <w:szCs w:val="20"/>
              </w:rPr>
            </w:pPr>
            <w:r w:rsidRPr="005D68A8">
              <w:rPr>
                <w:rFonts w:ascii="Calibri" w:hAnsi="Calibri"/>
                <w:sz w:val="20"/>
                <w:szCs w:val="20"/>
              </w:rPr>
              <w:t>60.980,00</w:t>
            </w:r>
          </w:p>
        </w:tc>
        <w:tc>
          <w:tcPr>
            <w:tcW w:w="2140" w:type="dxa"/>
            <w:tcBorders>
              <w:top w:val="nil"/>
              <w:left w:val="nil"/>
              <w:bottom w:val="single" w:sz="4" w:space="0" w:color="auto"/>
              <w:right w:val="single" w:sz="4" w:space="0" w:color="auto"/>
            </w:tcBorders>
            <w:shd w:val="clear" w:color="auto" w:fill="auto"/>
            <w:noWrap/>
            <w:vAlign w:val="center"/>
            <w:hideMark/>
          </w:tcPr>
          <w:p w14:paraId="1EAC56F0" w14:textId="77777777" w:rsidR="007C74A2" w:rsidRPr="005D68A8" w:rsidRDefault="007C74A2" w:rsidP="005D68A8">
            <w:pPr>
              <w:jc w:val="right"/>
              <w:rPr>
                <w:rFonts w:ascii="Calibri" w:hAnsi="Calibri"/>
                <w:sz w:val="20"/>
                <w:szCs w:val="20"/>
              </w:rPr>
            </w:pPr>
            <w:r w:rsidRPr="005D68A8">
              <w:rPr>
                <w:rFonts w:ascii="Calibri" w:hAnsi="Calibri"/>
                <w:sz w:val="20"/>
                <w:szCs w:val="20"/>
              </w:rPr>
              <w:t>80.703,53</w:t>
            </w:r>
          </w:p>
        </w:tc>
        <w:tc>
          <w:tcPr>
            <w:tcW w:w="1380" w:type="dxa"/>
            <w:tcBorders>
              <w:top w:val="nil"/>
              <w:left w:val="nil"/>
              <w:bottom w:val="single" w:sz="4" w:space="0" w:color="auto"/>
              <w:right w:val="single" w:sz="4" w:space="0" w:color="auto"/>
            </w:tcBorders>
            <w:shd w:val="clear" w:color="auto" w:fill="auto"/>
            <w:noWrap/>
            <w:vAlign w:val="center"/>
            <w:hideMark/>
          </w:tcPr>
          <w:p w14:paraId="548FFC25" w14:textId="77777777" w:rsidR="007C74A2" w:rsidRDefault="007C74A2">
            <w:pPr>
              <w:jc w:val="right"/>
              <w:rPr>
                <w:rFonts w:ascii="Calibri" w:hAnsi="Calibri"/>
                <w:sz w:val="20"/>
                <w:szCs w:val="20"/>
              </w:rPr>
            </w:pPr>
            <w:r>
              <w:rPr>
                <w:rFonts w:ascii="Calibri" w:hAnsi="Calibri"/>
                <w:sz w:val="20"/>
                <w:szCs w:val="20"/>
              </w:rPr>
              <w:t>132,34</w:t>
            </w:r>
          </w:p>
        </w:tc>
      </w:tr>
      <w:tr w:rsidR="007C74A2" w:rsidRPr="005D68A8" w14:paraId="34501765"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1F147EC"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Обавезе за порезе и доприносе</w:t>
            </w:r>
          </w:p>
        </w:tc>
        <w:tc>
          <w:tcPr>
            <w:tcW w:w="2120" w:type="dxa"/>
            <w:tcBorders>
              <w:top w:val="nil"/>
              <w:left w:val="nil"/>
              <w:bottom w:val="single" w:sz="4" w:space="0" w:color="auto"/>
              <w:right w:val="single" w:sz="4" w:space="0" w:color="auto"/>
            </w:tcBorders>
            <w:shd w:val="clear" w:color="auto" w:fill="auto"/>
            <w:noWrap/>
            <w:vAlign w:val="center"/>
            <w:hideMark/>
          </w:tcPr>
          <w:p w14:paraId="00610BA5" w14:textId="77777777" w:rsidR="007C74A2" w:rsidRPr="005D68A8" w:rsidRDefault="007C74A2" w:rsidP="005D68A8">
            <w:pPr>
              <w:jc w:val="right"/>
              <w:rPr>
                <w:rFonts w:ascii="Calibri" w:hAnsi="Calibri"/>
                <w:sz w:val="20"/>
                <w:szCs w:val="20"/>
              </w:rPr>
            </w:pPr>
            <w:r w:rsidRPr="005D68A8">
              <w:rPr>
                <w:rFonts w:ascii="Calibri" w:hAnsi="Calibri"/>
                <w:sz w:val="20"/>
                <w:szCs w:val="20"/>
              </w:rPr>
              <w:t>35.533,00</w:t>
            </w:r>
          </w:p>
        </w:tc>
        <w:tc>
          <w:tcPr>
            <w:tcW w:w="2140" w:type="dxa"/>
            <w:tcBorders>
              <w:top w:val="nil"/>
              <w:left w:val="nil"/>
              <w:bottom w:val="single" w:sz="4" w:space="0" w:color="auto"/>
              <w:right w:val="single" w:sz="4" w:space="0" w:color="auto"/>
            </w:tcBorders>
            <w:shd w:val="clear" w:color="auto" w:fill="auto"/>
            <w:noWrap/>
            <w:vAlign w:val="center"/>
            <w:hideMark/>
          </w:tcPr>
          <w:p w14:paraId="2608636D" w14:textId="77777777" w:rsidR="007C74A2" w:rsidRPr="005D68A8" w:rsidRDefault="007C74A2" w:rsidP="005D68A8">
            <w:pPr>
              <w:jc w:val="right"/>
              <w:rPr>
                <w:rFonts w:ascii="Calibri" w:hAnsi="Calibri"/>
                <w:sz w:val="20"/>
                <w:szCs w:val="20"/>
              </w:rPr>
            </w:pPr>
            <w:r w:rsidRPr="005D68A8">
              <w:rPr>
                <w:rFonts w:ascii="Calibri" w:hAnsi="Calibri"/>
                <w:sz w:val="20"/>
                <w:szCs w:val="20"/>
              </w:rPr>
              <w:t>45.824,06</w:t>
            </w:r>
          </w:p>
        </w:tc>
        <w:tc>
          <w:tcPr>
            <w:tcW w:w="1380" w:type="dxa"/>
            <w:tcBorders>
              <w:top w:val="nil"/>
              <w:left w:val="nil"/>
              <w:bottom w:val="single" w:sz="4" w:space="0" w:color="auto"/>
              <w:right w:val="single" w:sz="4" w:space="0" w:color="auto"/>
            </w:tcBorders>
            <w:shd w:val="clear" w:color="auto" w:fill="auto"/>
            <w:noWrap/>
            <w:vAlign w:val="center"/>
            <w:hideMark/>
          </w:tcPr>
          <w:p w14:paraId="2ADB2611" w14:textId="77777777" w:rsidR="007C74A2" w:rsidRDefault="007C74A2">
            <w:pPr>
              <w:jc w:val="right"/>
              <w:rPr>
                <w:rFonts w:ascii="Calibri" w:hAnsi="Calibri"/>
                <w:sz w:val="20"/>
                <w:szCs w:val="20"/>
              </w:rPr>
            </w:pPr>
            <w:r>
              <w:rPr>
                <w:rFonts w:ascii="Calibri" w:hAnsi="Calibri"/>
                <w:sz w:val="20"/>
                <w:szCs w:val="20"/>
              </w:rPr>
              <w:t>128,96</w:t>
            </w:r>
          </w:p>
        </w:tc>
      </w:tr>
      <w:tr w:rsidR="007C74A2" w:rsidRPr="005D68A8" w14:paraId="76388035"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F9E4086"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Обавезе по основу активираних гаранција</w:t>
            </w:r>
          </w:p>
        </w:tc>
        <w:tc>
          <w:tcPr>
            <w:tcW w:w="2120" w:type="dxa"/>
            <w:tcBorders>
              <w:top w:val="nil"/>
              <w:left w:val="nil"/>
              <w:bottom w:val="single" w:sz="4" w:space="0" w:color="auto"/>
              <w:right w:val="single" w:sz="4" w:space="0" w:color="auto"/>
            </w:tcBorders>
            <w:shd w:val="clear" w:color="auto" w:fill="auto"/>
            <w:noWrap/>
            <w:vAlign w:val="center"/>
            <w:hideMark/>
          </w:tcPr>
          <w:p w14:paraId="751E55C7" w14:textId="77777777" w:rsidR="007C74A2" w:rsidRPr="005D68A8" w:rsidRDefault="007C74A2" w:rsidP="005D68A8">
            <w:pPr>
              <w:jc w:val="right"/>
              <w:rPr>
                <w:rFonts w:ascii="Calibri" w:hAnsi="Calibri"/>
                <w:sz w:val="20"/>
                <w:szCs w:val="20"/>
              </w:rPr>
            </w:pPr>
            <w:r w:rsidRPr="005D68A8">
              <w:rPr>
                <w:rFonts w:ascii="Calibri" w:hAnsi="Calibri"/>
                <w:sz w:val="20"/>
                <w:szCs w:val="20"/>
              </w:rPr>
              <w:t>0,00</w:t>
            </w:r>
          </w:p>
        </w:tc>
        <w:tc>
          <w:tcPr>
            <w:tcW w:w="2140" w:type="dxa"/>
            <w:tcBorders>
              <w:top w:val="nil"/>
              <w:left w:val="nil"/>
              <w:bottom w:val="single" w:sz="4" w:space="0" w:color="auto"/>
              <w:right w:val="single" w:sz="4" w:space="0" w:color="auto"/>
            </w:tcBorders>
            <w:shd w:val="clear" w:color="auto" w:fill="auto"/>
            <w:noWrap/>
            <w:vAlign w:val="center"/>
            <w:hideMark/>
          </w:tcPr>
          <w:p w14:paraId="27CDB24C" w14:textId="77777777" w:rsidR="007C74A2" w:rsidRPr="005D68A8" w:rsidRDefault="007C74A2" w:rsidP="005D68A8">
            <w:pPr>
              <w:jc w:val="right"/>
              <w:rPr>
                <w:rFonts w:ascii="Calibri" w:hAnsi="Calibri"/>
                <w:sz w:val="20"/>
                <w:szCs w:val="20"/>
              </w:rPr>
            </w:pPr>
            <w:r w:rsidRPr="005D68A8">
              <w:rPr>
                <w:rFonts w:ascii="Calibri" w:hAnsi="Calibri"/>
                <w:sz w:val="20"/>
                <w:szCs w:val="20"/>
              </w:rPr>
              <w:t>1.485.962,50</w:t>
            </w:r>
          </w:p>
        </w:tc>
        <w:tc>
          <w:tcPr>
            <w:tcW w:w="1380" w:type="dxa"/>
            <w:tcBorders>
              <w:top w:val="nil"/>
              <w:left w:val="nil"/>
              <w:bottom w:val="single" w:sz="4" w:space="0" w:color="auto"/>
              <w:right w:val="single" w:sz="4" w:space="0" w:color="auto"/>
            </w:tcBorders>
            <w:shd w:val="clear" w:color="auto" w:fill="auto"/>
            <w:noWrap/>
            <w:vAlign w:val="center"/>
            <w:hideMark/>
          </w:tcPr>
          <w:p w14:paraId="193DE2F5"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6A60C34D"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09B5BB9"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Остале обавезе</w:t>
            </w:r>
          </w:p>
        </w:tc>
        <w:tc>
          <w:tcPr>
            <w:tcW w:w="2120" w:type="dxa"/>
            <w:tcBorders>
              <w:top w:val="nil"/>
              <w:left w:val="nil"/>
              <w:bottom w:val="single" w:sz="4" w:space="0" w:color="auto"/>
              <w:right w:val="single" w:sz="4" w:space="0" w:color="auto"/>
            </w:tcBorders>
            <w:shd w:val="clear" w:color="auto" w:fill="auto"/>
            <w:noWrap/>
            <w:vAlign w:val="center"/>
            <w:hideMark/>
          </w:tcPr>
          <w:p w14:paraId="131ACCC2" w14:textId="77777777" w:rsidR="007C74A2" w:rsidRPr="005D68A8" w:rsidRDefault="007C74A2" w:rsidP="005D68A8">
            <w:pPr>
              <w:jc w:val="right"/>
              <w:rPr>
                <w:rFonts w:ascii="Calibri" w:hAnsi="Calibri"/>
                <w:sz w:val="20"/>
                <w:szCs w:val="20"/>
              </w:rPr>
            </w:pPr>
            <w:r w:rsidRPr="005D68A8">
              <w:rPr>
                <w:rFonts w:ascii="Calibri" w:hAnsi="Calibri"/>
                <w:sz w:val="20"/>
                <w:szCs w:val="20"/>
              </w:rPr>
              <w:t>74.745,00</w:t>
            </w:r>
          </w:p>
        </w:tc>
        <w:tc>
          <w:tcPr>
            <w:tcW w:w="2140" w:type="dxa"/>
            <w:tcBorders>
              <w:top w:val="nil"/>
              <w:left w:val="nil"/>
              <w:bottom w:val="single" w:sz="4" w:space="0" w:color="auto"/>
              <w:right w:val="single" w:sz="4" w:space="0" w:color="auto"/>
            </w:tcBorders>
            <w:shd w:val="clear" w:color="auto" w:fill="auto"/>
            <w:noWrap/>
            <w:vAlign w:val="center"/>
            <w:hideMark/>
          </w:tcPr>
          <w:p w14:paraId="062DEE65" w14:textId="77777777" w:rsidR="007C74A2" w:rsidRPr="005D68A8" w:rsidRDefault="007C74A2" w:rsidP="005D68A8">
            <w:pPr>
              <w:jc w:val="right"/>
              <w:rPr>
                <w:rFonts w:ascii="Calibri" w:hAnsi="Calibri"/>
                <w:sz w:val="20"/>
                <w:szCs w:val="20"/>
              </w:rPr>
            </w:pPr>
            <w:r w:rsidRPr="005D68A8">
              <w:rPr>
                <w:rFonts w:ascii="Calibri" w:hAnsi="Calibri"/>
                <w:sz w:val="20"/>
                <w:szCs w:val="20"/>
              </w:rPr>
              <w:t>59.072,47</w:t>
            </w:r>
          </w:p>
        </w:tc>
        <w:tc>
          <w:tcPr>
            <w:tcW w:w="1380" w:type="dxa"/>
            <w:tcBorders>
              <w:top w:val="nil"/>
              <w:left w:val="nil"/>
              <w:bottom w:val="single" w:sz="4" w:space="0" w:color="auto"/>
              <w:right w:val="single" w:sz="4" w:space="0" w:color="auto"/>
            </w:tcBorders>
            <w:shd w:val="clear" w:color="auto" w:fill="auto"/>
            <w:noWrap/>
            <w:vAlign w:val="center"/>
            <w:hideMark/>
          </w:tcPr>
          <w:p w14:paraId="2B1F49D9" w14:textId="77777777" w:rsidR="007C74A2" w:rsidRDefault="007C74A2">
            <w:pPr>
              <w:jc w:val="right"/>
              <w:rPr>
                <w:rFonts w:ascii="Calibri" w:hAnsi="Calibri"/>
                <w:sz w:val="20"/>
                <w:szCs w:val="20"/>
              </w:rPr>
            </w:pPr>
            <w:r>
              <w:rPr>
                <w:rFonts w:ascii="Calibri" w:hAnsi="Calibri"/>
                <w:sz w:val="20"/>
                <w:szCs w:val="20"/>
              </w:rPr>
              <w:t>79,03</w:t>
            </w:r>
          </w:p>
        </w:tc>
      </w:tr>
      <w:tr w:rsidR="007C74A2" w:rsidRPr="005D68A8" w14:paraId="3E9823A8"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D314707"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Резервисања</w:t>
            </w:r>
          </w:p>
        </w:tc>
        <w:tc>
          <w:tcPr>
            <w:tcW w:w="2120" w:type="dxa"/>
            <w:tcBorders>
              <w:top w:val="nil"/>
              <w:left w:val="nil"/>
              <w:bottom w:val="single" w:sz="4" w:space="0" w:color="auto"/>
              <w:right w:val="single" w:sz="4" w:space="0" w:color="auto"/>
            </w:tcBorders>
            <w:shd w:val="clear" w:color="auto" w:fill="auto"/>
            <w:noWrap/>
            <w:vAlign w:val="center"/>
            <w:hideMark/>
          </w:tcPr>
          <w:p w14:paraId="067E9A28" w14:textId="77777777" w:rsidR="007C74A2" w:rsidRPr="005D68A8" w:rsidRDefault="007C74A2" w:rsidP="005D68A8">
            <w:pPr>
              <w:jc w:val="right"/>
              <w:rPr>
                <w:rFonts w:ascii="Calibri" w:hAnsi="Calibri"/>
                <w:sz w:val="20"/>
                <w:szCs w:val="20"/>
              </w:rPr>
            </w:pPr>
            <w:r w:rsidRPr="005D68A8">
              <w:rPr>
                <w:rFonts w:ascii="Calibri" w:hAnsi="Calibri"/>
                <w:sz w:val="20"/>
                <w:szCs w:val="20"/>
              </w:rPr>
              <w:t>272.051,00</w:t>
            </w:r>
          </w:p>
        </w:tc>
        <w:tc>
          <w:tcPr>
            <w:tcW w:w="2140" w:type="dxa"/>
            <w:tcBorders>
              <w:top w:val="nil"/>
              <w:left w:val="nil"/>
              <w:bottom w:val="single" w:sz="4" w:space="0" w:color="auto"/>
              <w:right w:val="single" w:sz="4" w:space="0" w:color="auto"/>
            </w:tcBorders>
            <w:shd w:val="clear" w:color="auto" w:fill="auto"/>
            <w:noWrap/>
            <w:vAlign w:val="center"/>
            <w:hideMark/>
          </w:tcPr>
          <w:p w14:paraId="41ECB65D" w14:textId="77777777" w:rsidR="007C74A2" w:rsidRPr="005D68A8" w:rsidRDefault="007C74A2" w:rsidP="005D68A8">
            <w:pPr>
              <w:jc w:val="right"/>
              <w:rPr>
                <w:rFonts w:ascii="Calibri" w:hAnsi="Calibri"/>
                <w:sz w:val="20"/>
                <w:szCs w:val="20"/>
              </w:rPr>
            </w:pPr>
            <w:r w:rsidRPr="005D68A8">
              <w:rPr>
                <w:rFonts w:ascii="Calibri" w:hAnsi="Calibri"/>
                <w:sz w:val="20"/>
                <w:szCs w:val="20"/>
              </w:rPr>
              <w:t>891.448,00</w:t>
            </w:r>
          </w:p>
        </w:tc>
        <w:tc>
          <w:tcPr>
            <w:tcW w:w="1380" w:type="dxa"/>
            <w:tcBorders>
              <w:top w:val="nil"/>
              <w:left w:val="nil"/>
              <w:bottom w:val="single" w:sz="4" w:space="0" w:color="auto"/>
              <w:right w:val="single" w:sz="4" w:space="0" w:color="auto"/>
            </w:tcBorders>
            <w:shd w:val="clear" w:color="auto" w:fill="auto"/>
            <w:noWrap/>
            <w:vAlign w:val="center"/>
            <w:hideMark/>
          </w:tcPr>
          <w:p w14:paraId="311CF2B7" w14:textId="77777777" w:rsidR="007C74A2" w:rsidRDefault="007C74A2">
            <w:pPr>
              <w:jc w:val="right"/>
              <w:rPr>
                <w:rFonts w:ascii="Calibri" w:hAnsi="Calibri"/>
                <w:sz w:val="20"/>
                <w:szCs w:val="20"/>
              </w:rPr>
            </w:pPr>
            <w:r>
              <w:rPr>
                <w:rFonts w:ascii="Calibri" w:hAnsi="Calibri"/>
                <w:sz w:val="20"/>
                <w:szCs w:val="20"/>
              </w:rPr>
              <w:t>327,68</w:t>
            </w:r>
          </w:p>
        </w:tc>
      </w:tr>
      <w:tr w:rsidR="007C74A2" w:rsidRPr="005D68A8" w14:paraId="71F6BDE1"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D9CC151"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ПВР у домаћој валути</w:t>
            </w:r>
          </w:p>
        </w:tc>
        <w:tc>
          <w:tcPr>
            <w:tcW w:w="2120" w:type="dxa"/>
            <w:tcBorders>
              <w:top w:val="nil"/>
              <w:left w:val="nil"/>
              <w:bottom w:val="single" w:sz="4" w:space="0" w:color="auto"/>
              <w:right w:val="single" w:sz="4" w:space="0" w:color="auto"/>
            </w:tcBorders>
            <w:shd w:val="clear" w:color="auto" w:fill="auto"/>
            <w:noWrap/>
            <w:vAlign w:val="center"/>
            <w:hideMark/>
          </w:tcPr>
          <w:p w14:paraId="31B11FBC" w14:textId="77777777" w:rsidR="007C74A2" w:rsidRPr="005D68A8" w:rsidRDefault="007C74A2" w:rsidP="005D68A8">
            <w:pPr>
              <w:jc w:val="right"/>
              <w:rPr>
                <w:rFonts w:ascii="Calibri" w:hAnsi="Calibri"/>
                <w:sz w:val="20"/>
                <w:szCs w:val="20"/>
              </w:rPr>
            </w:pPr>
            <w:r w:rsidRPr="005D68A8">
              <w:rPr>
                <w:rFonts w:ascii="Calibri" w:hAnsi="Calibri"/>
                <w:sz w:val="20"/>
                <w:szCs w:val="20"/>
              </w:rPr>
              <w:t>182.796,00</w:t>
            </w:r>
          </w:p>
        </w:tc>
        <w:tc>
          <w:tcPr>
            <w:tcW w:w="2140" w:type="dxa"/>
            <w:tcBorders>
              <w:top w:val="nil"/>
              <w:left w:val="nil"/>
              <w:bottom w:val="single" w:sz="4" w:space="0" w:color="auto"/>
              <w:right w:val="single" w:sz="4" w:space="0" w:color="auto"/>
            </w:tcBorders>
            <w:shd w:val="clear" w:color="auto" w:fill="auto"/>
            <w:noWrap/>
            <w:vAlign w:val="center"/>
            <w:hideMark/>
          </w:tcPr>
          <w:p w14:paraId="731B4AEE" w14:textId="77777777" w:rsidR="007C74A2" w:rsidRPr="005D68A8" w:rsidRDefault="007C74A2" w:rsidP="005D68A8">
            <w:pPr>
              <w:jc w:val="right"/>
              <w:rPr>
                <w:rFonts w:ascii="Calibri" w:hAnsi="Calibri"/>
                <w:sz w:val="20"/>
                <w:szCs w:val="20"/>
              </w:rPr>
            </w:pPr>
            <w:r w:rsidRPr="005D68A8">
              <w:rPr>
                <w:rFonts w:ascii="Calibri" w:hAnsi="Calibri"/>
                <w:sz w:val="20"/>
                <w:szCs w:val="20"/>
              </w:rPr>
              <w:t>187.478,57</w:t>
            </w:r>
          </w:p>
        </w:tc>
        <w:tc>
          <w:tcPr>
            <w:tcW w:w="1380" w:type="dxa"/>
            <w:tcBorders>
              <w:top w:val="nil"/>
              <w:left w:val="nil"/>
              <w:bottom w:val="single" w:sz="4" w:space="0" w:color="auto"/>
              <w:right w:val="single" w:sz="4" w:space="0" w:color="auto"/>
            </w:tcBorders>
            <w:shd w:val="clear" w:color="auto" w:fill="auto"/>
            <w:noWrap/>
            <w:vAlign w:val="center"/>
            <w:hideMark/>
          </w:tcPr>
          <w:p w14:paraId="79169248" w14:textId="77777777" w:rsidR="007C74A2" w:rsidRDefault="007C74A2">
            <w:pPr>
              <w:jc w:val="right"/>
              <w:rPr>
                <w:rFonts w:ascii="Calibri" w:hAnsi="Calibri"/>
                <w:sz w:val="20"/>
                <w:szCs w:val="20"/>
              </w:rPr>
            </w:pPr>
            <w:r>
              <w:rPr>
                <w:rFonts w:ascii="Calibri" w:hAnsi="Calibri"/>
                <w:sz w:val="20"/>
                <w:szCs w:val="20"/>
              </w:rPr>
              <w:t>102,56</w:t>
            </w:r>
          </w:p>
        </w:tc>
      </w:tr>
      <w:tr w:rsidR="007C74A2" w:rsidRPr="005D68A8" w14:paraId="0770DDD2"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1DF45F8"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 xml:space="preserve">Обавезе у страној валути </w:t>
            </w:r>
          </w:p>
        </w:tc>
        <w:tc>
          <w:tcPr>
            <w:tcW w:w="2120" w:type="dxa"/>
            <w:tcBorders>
              <w:top w:val="nil"/>
              <w:left w:val="nil"/>
              <w:bottom w:val="single" w:sz="4" w:space="0" w:color="auto"/>
              <w:right w:val="single" w:sz="4" w:space="0" w:color="auto"/>
            </w:tcBorders>
            <w:shd w:val="clear" w:color="auto" w:fill="auto"/>
            <w:noWrap/>
            <w:vAlign w:val="center"/>
            <w:hideMark/>
          </w:tcPr>
          <w:p w14:paraId="0D8BFDDC" w14:textId="77777777" w:rsidR="007C74A2" w:rsidRPr="005D68A8" w:rsidRDefault="007C74A2" w:rsidP="005D68A8">
            <w:pPr>
              <w:jc w:val="right"/>
              <w:rPr>
                <w:rFonts w:ascii="Calibri" w:hAnsi="Calibri"/>
                <w:sz w:val="20"/>
                <w:szCs w:val="20"/>
              </w:rPr>
            </w:pPr>
            <w:r w:rsidRPr="005D68A8">
              <w:rPr>
                <w:rFonts w:ascii="Calibri" w:hAnsi="Calibri"/>
                <w:sz w:val="20"/>
                <w:szCs w:val="20"/>
              </w:rPr>
              <w:t>0,00</w:t>
            </w:r>
          </w:p>
        </w:tc>
        <w:tc>
          <w:tcPr>
            <w:tcW w:w="2140" w:type="dxa"/>
            <w:tcBorders>
              <w:top w:val="nil"/>
              <w:left w:val="nil"/>
              <w:bottom w:val="single" w:sz="4" w:space="0" w:color="auto"/>
              <w:right w:val="single" w:sz="4" w:space="0" w:color="auto"/>
            </w:tcBorders>
            <w:shd w:val="clear" w:color="auto" w:fill="auto"/>
            <w:noWrap/>
            <w:vAlign w:val="center"/>
            <w:hideMark/>
          </w:tcPr>
          <w:p w14:paraId="4E968E54" w14:textId="77777777" w:rsidR="007C74A2" w:rsidRPr="005D68A8" w:rsidRDefault="007C74A2" w:rsidP="005D68A8">
            <w:pPr>
              <w:jc w:val="right"/>
              <w:rPr>
                <w:rFonts w:ascii="Calibri" w:hAnsi="Calibri"/>
                <w:sz w:val="20"/>
                <w:szCs w:val="20"/>
              </w:rPr>
            </w:pPr>
            <w:r w:rsidRPr="005D68A8">
              <w:rPr>
                <w:rFonts w:ascii="Calibri" w:hAnsi="Calibri"/>
                <w:sz w:val="20"/>
                <w:szCs w:val="20"/>
              </w:rPr>
              <w:t>10.759,02</w:t>
            </w:r>
          </w:p>
        </w:tc>
        <w:tc>
          <w:tcPr>
            <w:tcW w:w="1380" w:type="dxa"/>
            <w:tcBorders>
              <w:top w:val="nil"/>
              <w:left w:val="nil"/>
              <w:bottom w:val="single" w:sz="4" w:space="0" w:color="auto"/>
              <w:right w:val="single" w:sz="4" w:space="0" w:color="auto"/>
            </w:tcBorders>
            <w:shd w:val="clear" w:color="auto" w:fill="auto"/>
            <w:noWrap/>
            <w:vAlign w:val="center"/>
            <w:hideMark/>
          </w:tcPr>
          <w:p w14:paraId="00DF0935"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47623420"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0FFA712C" w14:textId="77777777" w:rsidR="007C74A2" w:rsidRPr="005D68A8" w:rsidRDefault="007C74A2" w:rsidP="005D68A8">
            <w:pPr>
              <w:jc w:val="left"/>
              <w:rPr>
                <w:rFonts w:ascii="Calibri" w:hAnsi="Calibri"/>
                <w:b/>
                <w:bCs/>
                <w:color w:val="auto"/>
                <w:sz w:val="20"/>
                <w:szCs w:val="20"/>
              </w:rPr>
            </w:pPr>
            <w:r w:rsidRPr="005D68A8">
              <w:rPr>
                <w:rFonts w:ascii="Calibri" w:hAnsi="Calibri"/>
                <w:b/>
                <w:bCs/>
                <w:color w:val="auto"/>
                <w:sz w:val="20"/>
                <w:szCs w:val="20"/>
              </w:rPr>
              <w:t>Укупно капитал</w:t>
            </w:r>
          </w:p>
        </w:tc>
        <w:tc>
          <w:tcPr>
            <w:tcW w:w="2120" w:type="dxa"/>
            <w:tcBorders>
              <w:top w:val="nil"/>
              <w:left w:val="nil"/>
              <w:bottom w:val="single" w:sz="4" w:space="0" w:color="auto"/>
              <w:right w:val="single" w:sz="4" w:space="0" w:color="auto"/>
            </w:tcBorders>
            <w:shd w:val="clear" w:color="000000" w:fill="C5D9F1"/>
            <w:noWrap/>
            <w:vAlign w:val="center"/>
            <w:hideMark/>
          </w:tcPr>
          <w:p w14:paraId="15D46696"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19.615.088,00</w:t>
            </w:r>
          </w:p>
        </w:tc>
        <w:tc>
          <w:tcPr>
            <w:tcW w:w="2140" w:type="dxa"/>
            <w:tcBorders>
              <w:top w:val="nil"/>
              <w:left w:val="nil"/>
              <w:bottom w:val="single" w:sz="4" w:space="0" w:color="auto"/>
              <w:right w:val="single" w:sz="4" w:space="0" w:color="auto"/>
            </w:tcBorders>
            <w:shd w:val="clear" w:color="000000" w:fill="C5D9F1"/>
            <w:noWrap/>
            <w:vAlign w:val="center"/>
            <w:hideMark/>
          </w:tcPr>
          <w:p w14:paraId="1070502A"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17.829.389,00</w:t>
            </w:r>
          </w:p>
        </w:tc>
        <w:tc>
          <w:tcPr>
            <w:tcW w:w="1380" w:type="dxa"/>
            <w:tcBorders>
              <w:top w:val="nil"/>
              <w:left w:val="nil"/>
              <w:bottom w:val="single" w:sz="4" w:space="0" w:color="auto"/>
              <w:right w:val="single" w:sz="4" w:space="0" w:color="auto"/>
            </w:tcBorders>
            <w:shd w:val="clear" w:color="000000" w:fill="C5D9F1"/>
            <w:noWrap/>
            <w:vAlign w:val="center"/>
            <w:hideMark/>
          </w:tcPr>
          <w:p w14:paraId="3FC017EA" w14:textId="77777777" w:rsidR="007C74A2" w:rsidRDefault="007C74A2">
            <w:pPr>
              <w:jc w:val="right"/>
              <w:rPr>
                <w:rFonts w:ascii="Calibri" w:hAnsi="Calibri"/>
                <w:b/>
                <w:bCs/>
                <w:sz w:val="20"/>
                <w:szCs w:val="20"/>
              </w:rPr>
            </w:pPr>
            <w:r>
              <w:rPr>
                <w:rFonts w:ascii="Calibri" w:hAnsi="Calibri"/>
                <w:b/>
                <w:bCs/>
                <w:sz w:val="20"/>
                <w:szCs w:val="20"/>
              </w:rPr>
              <w:t>90,90</w:t>
            </w:r>
          </w:p>
        </w:tc>
      </w:tr>
      <w:tr w:rsidR="007C74A2" w:rsidRPr="005D68A8" w14:paraId="51F79736"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D769621" w14:textId="77777777" w:rsidR="007C74A2" w:rsidRPr="005D68A8" w:rsidRDefault="007C74A2" w:rsidP="005D68A8">
            <w:pPr>
              <w:jc w:val="left"/>
              <w:rPr>
                <w:rFonts w:ascii="Calibri" w:hAnsi="Calibri"/>
                <w:sz w:val="20"/>
                <w:szCs w:val="20"/>
              </w:rPr>
            </w:pPr>
            <w:r w:rsidRPr="005D68A8">
              <w:rPr>
                <w:rFonts w:ascii="Calibri" w:hAnsi="Calibri"/>
                <w:sz w:val="20"/>
                <w:szCs w:val="20"/>
              </w:rPr>
              <w:t>Акцијски капитал</w:t>
            </w:r>
          </w:p>
        </w:tc>
        <w:tc>
          <w:tcPr>
            <w:tcW w:w="2120" w:type="dxa"/>
            <w:tcBorders>
              <w:top w:val="nil"/>
              <w:left w:val="nil"/>
              <w:bottom w:val="single" w:sz="4" w:space="0" w:color="auto"/>
              <w:right w:val="single" w:sz="4" w:space="0" w:color="auto"/>
            </w:tcBorders>
            <w:shd w:val="clear" w:color="auto" w:fill="auto"/>
            <w:noWrap/>
            <w:vAlign w:val="center"/>
            <w:hideMark/>
          </w:tcPr>
          <w:p w14:paraId="696A360B" w14:textId="77777777" w:rsidR="007C74A2" w:rsidRPr="005D68A8" w:rsidRDefault="007C74A2" w:rsidP="005D68A8">
            <w:pPr>
              <w:jc w:val="right"/>
              <w:rPr>
                <w:rFonts w:ascii="Calibri" w:hAnsi="Calibri"/>
                <w:sz w:val="20"/>
                <w:szCs w:val="20"/>
              </w:rPr>
            </w:pPr>
            <w:r w:rsidRPr="005D68A8">
              <w:rPr>
                <w:rFonts w:ascii="Calibri" w:hAnsi="Calibri"/>
                <w:sz w:val="20"/>
                <w:szCs w:val="20"/>
              </w:rPr>
              <w:t>30.000.000,00</w:t>
            </w:r>
          </w:p>
        </w:tc>
        <w:tc>
          <w:tcPr>
            <w:tcW w:w="2140" w:type="dxa"/>
            <w:tcBorders>
              <w:top w:val="nil"/>
              <w:left w:val="nil"/>
              <w:bottom w:val="single" w:sz="4" w:space="0" w:color="auto"/>
              <w:right w:val="single" w:sz="4" w:space="0" w:color="auto"/>
            </w:tcBorders>
            <w:shd w:val="clear" w:color="auto" w:fill="auto"/>
            <w:noWrap/>
            <w:vAlign w:val="center"/>
            <w:hideMark/>
          </w:tcPr>
          <w:p w14:paraId="2AA83DD5" w14:textId="77777777" w:rsidR="007C74A2" w:rsidRPr="005D68A8" w:rsidRDefault="007C74A2" w:rsidP="005D68A8">
            <w:pPr>
              <w:jc w:val="right"/>
              <w:rPr>
                <w:rFonts w:ascii="Calibri" w:hAnsi="Calibri"/>
                <w:sz w:val="20"/>
                <w:szCs w:val="20"/>
              </w:rPr>
            </w:pPr>
            <w:r w:rsidRPr="005D68A8">
              <w:rPr>
                <w:rFonts w:ascii="Calibri" w:hAnsi="Calibri"/>
                <w:sz w:val="20"/>
                <w:szCs w:val="20"/>
              </w:rPr>
              <w:t>30.000.000,00</w:t>
            </w:r>
          </w:p>
        </w:tc>
        <w:tc>
          <w:tcPr>
            <w:tcW w:w="1380" w:type="dxa"/>
            <w:tcBorders>
              <w:top w:val="nil"/>
              <w:left w:val="nil"/>
              <w:bottom w:val="single" w:sz="4" w:space="0" w:color="auto"/>
              <w:right w:val="single" w:sz="4" w:space="0" w:color="auto"/>
            </w:tcBorders>
            <w:shd w:val="clear" w:color="auto" w:fill="auto"/>
            <w:noWrap/>
            <w:vAlign w:val="center"/>
            <w:hideMark/>
          </w:tcPr>
          <w:p w14:paraId="1358D532" w14:textId="77777777" w:rsidR="007C74A2" w:rsidRDefault="007C74A2">
            <w:pPr>
              <w:jc w:val="right"/>
              <w:rPr>
                <w:rFonts w:ascii="Calibri" w:hAnsi="Calibri"/>
                <w:sz w:val="20"/>
                <w:szCs w:val="20"/>
              </w:rPr>
            </w:pPr>
            <w:r>
              <w:rPr>
                <w:rFonts w:ascii="Calibri" w:hAnsi="Calibri"/>
                <w:sz w:val="20"/>
                <w:szCs w:val="20"/>
              </w:rPr>
              <w:t>100,00</w:t>
            </w:r>
          </w:p>
        </w:tc>
      </w:tr>
      <w:tr w:rsidR="007C74A2" w:rsidRPr="005D68A8" w14:paraId="1F151821"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270C75D" w14:textId="77777777" w:rsidR="007C74A2" w:rsidRPr="005D68A8" w:rsidRDefault="007C74A2" w:rsidP="005D68A8">
            <w:pPr>
              <w:jc w:val="left"/>
              <w:rPr>
                <w:rFonts w:ascii="Calibri" w:hAnsi="Calibri"/>
                <w:sz w:val="20"/>
                <w:szCs w:val="20"/>
              </w:rPr>
            </w:pPr>
            <w:r w:rsidRPr="005D68A8">
              <w:rPr>
                <w:rFonts w:ascii="Calibri" w:hAnsi="Calibri"/>
                <w:sz w:val="20"/>
                <w:szCs w:val="20"/>
              </w:rPr>
              <w:t>Губитак из ранијих година</w:t>
            </w:r>
          </w:p>
        </w:tc>
        <w:tc>
          <w:tcPr>
            <w:tcW w:w="2120" w:type="dxa"/>
            <w:tcBorders>
              <w:top w:val="nil"/>
              <w:left w:val="nil"/>
              <w:bottom w:val="single" w:sz="4" w:space="0" w:color="auto"/>
              <w:right w:val="single" w:sz="4" w:space="0" w:color="auto"/>
            </w:tcBorders>
            <w:shd w:val="clear" w:color="auto" w:fill="auto"/>
            <w:noWrap/>
            <w:vAlign w:val="center"/>
            <w:hideMark/>
          </w:tcPr>
          <w:p w14:paraId="5B9CFEF8" w14:textId="77777777" w:rsidR="007C74A2" w:rsidRPr="005D68A8" w:rsidRDefault="007C74A2" w:rsidP="005D68A8">
            <w:pPr>
              <w:jc w:val="right"/>
              <w:rPr>
                <w:rFonts w:ascii="Calibri" w:hAnsi="Calibri"/>
                <w:sz w:val="20"/>
                <w:szCs w:val="20"/>
              </w:rPr>
            </w:pPr>
            <w:r w:rsidRPr="005D68A8">
              <w:rPr>
                <w:rFonts w:ascii="Calibri" w:hAnsi="Calibri"/>
                <w:sz w:val="20"/>
                <w:szCs w:val="20"/>
              </w:rPr>
              <w:t>-10.385.781,00</w:t>
            </w:r>
          </w:p>
        </w:tc>
        <w:tc>
          <w:tcPr>
            <w:tcW w:w="2140" w:type="dxa"/>
            <w:tcBorders>
              <w:top w:val="nil"/>
              <w:left w:val="nil"/>
              <w:bottom w:val="single" w:sz="4" w:space="0" w:color="auto"/>
              <w:right w:val="single" w:sz="4" w:space="0" w:color="auto"/>
            </w:tcBorders>
            <w:shd w:val="clear" w:color="auto" w:fill="auto"/>
            <w:noWrap/>
            <w:vAlign w:val="center"/>
            <w:hideMark/>
          </w:tcPr>
          <w:p w14:paraId="30EE552C" w14:textId="77777777" w:rsidR="007C74A2" w:rsidRPr="005D68A8" w:rsidRDefault="007C74A2" w:rsidP="005D68A8">
            <w:pPr>
              <w:jc w:val="right"/>
              <w:rPr>
                <w:rFonts w:ascii="Calibri" w:hAnsi="Calibri"/>
                <w:sz w:val="20"/>
                <w:szCs w:val="20"/>
              </w:rPr>
            </w:pPr>
            <w:r w:rsidRPr="005D68A8">
              <w:rPr>
                <w:rFonts w:ascii="Calibri" w:hAnsi="Calibri"/>
                <w:sz w:val="20"/>
                <w:szCs w:val="20"/>
              </w:rPr>
              <w:t>-10.384.912,00</w:t>
            </w:r>
          </w:p>
        </w:tc>
        <w:tc>
          <w:tcPr>
            <w:tcW w:w="1380" w:type="dxa"/>
            <w:tcBorders>
              <w:top w:val="nil"/>
              <w:left w:val="nil"/>
              <w:bottom w:val="single" w:sz="4" w:space="0" w:color="auto"/>
              <w:right w:val="single" w:sz="4" w:space="0" w:color="auto"/>
            </w:tcBorders>
            <w:shd w:val="clear" w:color="auto" w:fill="auto"/>
            <w:noWrap/>
            <w:vAlign w:val="center"/>
            <w:hideMark/>
          </w:tcPr>
          <w:p w14:paraId="42465419" w14:textId="77777777" w:rsidR="007C74A2" w:rsidRDefault="007C74A2">
            <w:pPr>
              <w:jc w:val="right"/>
              <w:rPr>
                <w:rFonts w:ascii="Calibri" w:hAnsi="Calibri"/>
                <w:sz w:val="20"/>
                <w:szCs w:val="20"/>
              </w:rPr>
            </w:pPr>
            <w:r>
              <w:rPr>
                <w:rFonts w:ascii="Calibri" w:hAnsi="Calibri"/>
                <w:sz w:val="20"/>
                <w:szCs w:val="20"/>
              </w:rPr>
              <w:t>99,99</w:t>
            </w:r>
          </w:p>
        </w:tc>
      </w:tr>
      <w:tr w:rsidR="007C74A2" w:rsidRPr="005D68A8" w14:paraId="1FFC517B"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074B63B0" w14:textId="77777777" w:rsidR="007C74A2" w:rsidRPr="005D68A8" w:rsidRDefault="007C74A2" w:rsidP="005D68A8">
            <w:pPr>
              <w:jc w:val="left"/>
              <w:rPr>
                <w:rFonts w:ascii="Calibri" w:hAnsi="Calibri"/>
                <w:sz w:val="20"/>
                <w:szCs w:val="20"/>
              </w:rPr>
            </w:pPr>
            <w:r w:rsidRPr="005D68A8">
              <w:rPr>
                <w:rFonts w:ascii="Calibri" w:hAnsi="Calibri"/>
                <w:sz w:val="20"/>
                <w:szCs w:val="20"/>
              </w:rPr>
              <w:t>Добит/губитак текуће године</w:t>
            </w:r>
          </w:p>
        </w:tc>
        <w:tc>
          <w:tcPr>
            <w:tcW w:w="2120" w:type="dxa"/>
            <w:tcBorders>
              <w:top w:val="nil"/>
              <w:left w:val="nil"/>
              <w:bottom w:val="single" w:sz="4" w:space="0" w:color="auto"/>
              <w:right w:val="single" w:sz="4" w:space="0" w:color="auto"/>
            </w:tcBorders>
            <w:shd w:val="clear" w:color="auto" w:fill="auto"/>
            <w:noWrap/>
            <w:vAlign w:val="center"/>
            <w:hideMark/>
          </w:tcPr>
          <w:p w14:paraId="723C052A"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869</w:t>
            </w:r>
          </w:p>
        </w:tc>
        <w:tc>
          <w:tcPr>
            <w:tcW w:w="2140" w:type="dxa"/>
            <w:tcBorders>
              <w:top w:val="nil"/>
              <w:left w:val="nil"/>
              <w:bottom w:val="single" w:sz="4" w:space="0" w:color="auto"/>
              <w:right w:val="single" w:sz="4" w:space="0" w:color="auto"/>
            </w:tcBorders>
            <w:shd w:val="clear" w:color="auto" w:fill="auto"/>
            <w:noWrap/>
            <w:vAlign w:val="center"/>
            <w:hideMark/>
          </w:tcPr>
          <w:p w14:paraId="039F1F3D"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-1.785.699,00</w:t>
            </w:r>
          </w:p>
        </w:tc>
        <w:tc>
          <w:tcPr>
            <w:tcW w:w="1380" w:type="dxa"/>
            <w:tcBorders>
              <w:top w:val="nil"/>
              <w:left w:val="nil"/>
              <w:bottom w:val="single" w:sz="4" w:space="0" w:color="auto"/>
              <w:right w:val="single" w:sz="4" w:space="0" w:color="auto"/>
            </w:tcBorders>
            <w:shd w:val="clear" w:color="auto" w:fill="auto"/>
            <w:noWrap/>
            <w:vAlign w:val="center"/>
            <w:hideMark/>
          </w:tcPr>
          <w:p w14:paraId="0A7E07C2"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3A09EB3E"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DCE9169"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ПОСЛОВНА ПАСИВА</w:t>
            </w:r>
          </w:p>
        </w:tc>
        <w:tc>
          <w:tcPr>
            <w:tcW w:w="2120" w:type="dxa"/>
            <w:tcBorders>
              <w:top w:val="nil"/>
              <w:left w:val="nil"/>
              <w:bottom w:val="single" w:sz="4" w:space="0" w:color="auto"/>
              <w:right w:val="single" w:sz="4" w:space="0" w:color="auto"/>
            </w:tcBorders>
            <w:shd w:val="clear" w:color="auto" w:fill="auto"/>
            <w:noWrap/>
            <w:vAlign w:val="center"/>
            <w:hideMark/>
          </w:tcPr>
          <w:p w14:paraId="68AD25A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20.241.193,00</w:t>
            </w:r>
          </w:p>
        </w:tc>
        <w:tc>
          <w:tcPr>
            <w:tcW w:w="2140" w:type="dxa"/>
            <w:tcBorders>
              <w:top w:val="nil"/>
              <w:left w:val="nil"/>
              <w:bottom w:val="single" w:sz="4" w:space="0" w:color="auto"/>
              <w:right w:val="single" w:sz="4" w:space="0" w:color="auto"/>
            </w:tcBorders>
            <w:shd w:val="clear" w:color="auto" w:fill="auto"/>
            <w:noWrap/>
            <w:vAlign w:val="center"/>
            <w:hideMark/>
          </w:tcPr>
          <w:p w14:paraId="558BA1C9"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20.879.630,61</w:t>
            </w:r>
          </w:p>
        </w:tc>
        <w:tc>
          <w:tcPr>
            <w:tcW w:w="1380" w:type="dxa"/>
            <w:tcBorders>
              <w:top w:val="nil"/>
              <w:left w:val="nil"/>
              <w:bottom w:val="single" w:sz="4" w:space="0" w:color="auto"/>
              <w:right w:val="single" w:sz="4" w:space="0" w:color="auto"/>
            </w:tcBorders>
            <w:shd w:val="clear" w:color="auto" w:fill="auto"/>
            <w:noWrap/>
            <w:vAlign w:val="center"/>
            <w:hideMark/>
          </w:tcPr>
          <w:p w14:paraId="68CA757B" w14:textId="77777777" w:rsidR="007C74A2" w:rsidRDefault="007C74A2">
            <w:pPr>
              <w:jc w:val="right"/>
              <w:rPr>
                <w:rFonts w:ascii="Calibri" w:hAnsi="Calibri"/>
                <w:sz w:val="20"/>
                <w:szCs w:val="20"/>
              </w:rPr>
            </w:pPr>
            <w:r>
              <w:rPr>
                <w:rFonts w:ascii="Calibri" w:hAnsi="Calibri"/>
                <w:sz w:val="20"/>
                <w:szCs w:val="20"/>
              </w:rPr>
              <w:t>103,15</w:t>
            </w:r>
          </w:p>
        </w:tc>
      </w:tr>
      <w:tr w:rsidR="007C74A2" w:rsidRPr="005D68A8" w14:paraId="0B4549B4"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9927128"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ВАНБИЛАНСНА ПАСИВА</w:t>
            </w:r>
          </w:p>
        </w:tc>
        <w:tc>
          <w:tcPr>
            <w:tcW w:w="2120" w:type="dxa"/>
            <w:tcBorders>
              <w:top w:val="nil"/>
              <w:left w:val="nil"/>
              <w:bottom w:val="single" w:sz="4" w:space="0" w:color="auto"/>
              <w:right w:val="single" w:sz="4" w:space="0" w:color="auto"/>
            </w:tcBorders>
            <w:shd w:val="clear" w:color="auto" w:fill="auto"/>
            <w:noWrap/>
            <w:vAlign w:val="center"/>
            <w:hideMark/>
          </w:tcPr>
          <w:p w14:paraId="720BD7E1"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42.519.116,00</w:t>
            </w:r>
          </w:p>
        </w:tc>
        <w:tc>
          <w:tcPr>
            <w:tcW w:w="2140" w:type="dxa"/>
            <w:tcBorders>
              <w:top w:val="nil"/>
              <w:left w:val="nil"/>
              <w:bottom w:val="single" w:sz="4" w:space="0" w:color="auto"/>
              <w:right w:val="single" w:sz="4" w:space="0" w:color="auto"/>
            </w:tcBorders>
            <w:shd w:val="clear" w:color="auto" w:fill="auto"/>
            <w:noWrap/>
            <w:vAlign w:val="center"/>
            <w:hideMark/>
          </w:tcPr>
          <w:p w14:paraId="4B65D676"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53.569.487,72</w:t>
            </w:r>
          </w:p>
        </w:tc>
        <w:tc>
          <w:tcPr>
            <w:tcW w:w="1380" w:type="dxa"/>
            <w:tcBorders>
              <w:top w:val="nil"/>
              <w:left w:val="nil"/>
              <w:bottom w:val="single" w:sz="4" w:space="0" w:color="auto"/>
              <w:right w:val="single" w:sz="4" w:space="0" w:color="auto"/>
            </w:tcBorders>
            <w:shd w:val="clear" w:color="auto" w:fill="auto"/>
            <w:noWrap/>
            <w:vAlign w:val="center"/>
            <w:hideMark/>
          </w:tcPr>
          <w:p w14:paraId="1CE1534C" w14:textId="77777777" w:rsidR="007C74A2" w:rsidRDefault="007C74A2">
            <w:pPr>
              <w:jc w:val="right"/>
              <w:rPr>
                <w:rFonts w:ascii="Calibri" w:hAnsi="Calibri"/>
                <w:sz w:val="20"/>
                <w:szCs w:val="20"/>
              </w:rPr>
            </w:pPr>
            <w:r>
              <w:rPr>
                <w:rFonts w:ascii="Calibri" w:hAnsi="Calibri"/>
                <w:sz w:val="20"/>
                <w:szCs w:val="20"/>
              </w:rPr>
              <w:t>125,99</w:t>
            </w:r>
          </w:p>
        </w:tc>
      </w:tr>
      <w:tr w:rsidR="007C74A2" w:rsidRPr="005D68A8" w14:paraId="44ED19DF"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8DB3E2"/>
            <w:vAlign w:val="center"/>
            <w:hideMark/>
          </w:tcPr>
          <w:p w14:paraId="7C292F9D"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УКУПНА ПАСИВА</w:t>
            </w:r>
          </w:p>
        </w:tc>
        <w:tc>
          <w:tcPr>
            <w:tcW w:w="2120" w:type="dxa"/>
            <w:tcBorders>
              <w:top w:val="nil"/>
              <w:left w:val="nil"/>
              <w:bottom w:val="single" w:sz="4" w:space="0" w:color="auto"/>
              <w:right w:val="single" w:sz="4" w:space="0" w:color="auto"/>
            </w:tcBorders>
            <w:shd w:val="clear" w:color="000000" w:fill="8DB3E2"/>
            <w:noWrap/>
            <w:vAlign w:val="center"/>
            <w:hideMark/>
          </w:tcPr>
          <w:p w14:paraId="5314A733"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62.760.309,00</w:t>
            </w:r>
          </w:p>
        </w:tc>
        <w:tc>
          <w:tcPr>
            <w:tcW w:w="2140" w:type="dxa"/>
            <w:tcBorders>
              <w:top w:val="nil"/>
              <w:left w:val="nil"/>
              <w:bottom w:val="single" w:sz="4" w:space="0" w:color="auto"/>
              <w:right w:val="single" w:sz="4" w:space="0" w:color="auto"/>
            </w:tcBorders>
            <w:shd w:val="clear" w:color="000000" w:fill="8DB3E2"/>
            <w:noWrap/>
            <w:vAlign w:val="center"/>
            <w:hideMark/>
          </w:tcPr>
          <w:p w14:paraId="5A5F3175"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74.449.118,33</w:t>
            </w:r>
          </w:p>
        </w:tc>
        <w:tc>
          <w:tcPr>
            <w:tcW w:w="1380" w:type="dxa"/>
            <w:tcBorders>
              <w:top w:val="nil"/>
              <w:left w:val="nil"/>
              <w:bottom w:val="single" w:sz="4" w:space="0" w:color="auto"/>
              <w:right w:val="single" w:sz="4" w:space="0" w:color="auto"/>
            </w:tcBorders>
            <w:shd w:val="clear" w:color="000000" w:fill="8DB4E2"/>
            <w:noWrap/>
            <w:vAlign w:val="center"/>
            <w:hideMark/>
          </w:tcPr>
          <w:p w14:paraId="10F93EDB" w14:textId="77777777" w:rsidR="007C74A2" w:rsidRDefault="007C74A2">
            <w:pPr>
              <w:jc w:val="right"/>
              <w:rPr>
                <w:rFonts w:ascii="Calibri" w:hAnsi="Calibri"/>
                <w:b/>
                <w:bCs/>
                <w:sz w:val="20"/>
                <w:szCs w:val="20"/>
              </w:rPr>
            </w:pPr>
            <w:r>
              <w:rPr>
                <w:rFonts w:ascii="Calibri" w:hAnsi="Calibri"/>
                <w:b/>
                <w:bCs/>
                <w:sz w:val="20"/>
                <w:szCs w:val="20"/>
              </w:rPr>
              <w:t>118,62</w:t>
            </w:r>
          </w:p>
        </w:tc>
      </w:tr>
    </w:tbl>
    <w:p w14:paraId="57065055" w14:textId="77777777" w:rsidR="001538EF" w:rsidRPr="005767EF" w:rsidRDefault="001538EF" w:rsidP="001538EF">
      <w:pPr>
        <w:jc w:val="left"/>
        <w:rPr>
          <w:rFonts w:asciiTheme="minorHAnsi" w:hAnsiTheme="minorHAnsi"/>
          <w:b/>
          <w:sz w:val="20"/>
          <w:szCs w:val="20"/>
          <w:lang w:val="sr-Cyrl-CS" w:eastAsia="sr-Cyrl-CS"/>
        </w:rPr>
      </w:pPr>
    </w:p>
    <w:p w14:paraId="2844C24B" w14:textId="77777777" w:rsidR="00AC030A" w:rsidRDefault="00AC030A" w:rsidP="001538EF">
      <w:pPr>
        <w:rPr>
          <w:rFonts w:asciiTheme="minorHAnsi" w:hAnsiTheme="minorHAnsi"/>
          <w:color w:val="auto"/>
          <w:sz w:val="20"/>
          <w:szCs w:val="20"/>
          <w:lang w:val="sr-Cyrl-CS" w:eastAsia="sr-Cyrl-CS"/>
        </w:rPr>
      </w:pPr>
    </w:p>
    <w:p w14:paraId="70DE82EC" w14:textId="77777777" w:rsidR="00AC030A" w:rsidRDefault="007C74A2" w:rsidP="001538EF">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Пословна актива Гарантног ф</w:t>
      </w:r>
      <w:r w:rsidR="001538EF" w:rsidRPr="007C74A2">
        <w:rPr>
          <w:rFonts w:asciiTheme="minorHAnsi" w:hAnsiTheme="minorHAnsi"/>
          <w:color w:val="auto"/>
          <w:sz w:val="20"/>
          <w:szCs w:val="20"/>
          <w:lang w:val="sr-Cyrl-CS" w:eastAsia="sr-Cyrl-CS"/>
        </w:rPr>
        <w:t>онда на дан 31.12.202</w:t>
      </w:r>
      <w:r w:rsidR="00957F9F" w:rsidRPr="007C74A2">
        <w:rPr>
          <w:rFonts w:asciiTheme="minorHAnsi" w:hAnsiTheme="minorHAnsi"/>
          <w:color w:val="auto"/>
          <w:sz w:val="20"/>
          <w:szCs w:val="20"/>
          <w:lang w:val="sr-Cyrl-CS" w:eastAsia="sr-Cyrl-CS"/>
        </w:rPr>
        <w:t>3</w:t>
      </w:r>
      <w:r>
        <w:rPr>
          <w:rFonts w:asciiTheme="minorHAnsi" w:hAnsiTheme="minorHAnsi"/>
          <w:color w:val="auto"/>
          <w:sz w:val="20"/>
          <w:szCs w:val="20"/>
          <w:lang w:val="sr-Cyrl-CS" w:eastAsia="sr-Cyrl-CS"/>
        </w:rPr>
        <w:t xml:space="preserve">. године износи </w:t>
      </w:r>
      <w:r w:rsidRPr="007C74A2">
        <w:rPr>
          <w:rFonts w:asciiTheme="minorHAnsi" w:hAnsiTheme="minorHAnsi"/>
          <w:color w:val="auto"/>
          <w:sz w:val="20"/>
          <w:szCs w:val="20"/>
          <w:lang w:val="sr-Cyrl-CS" w:eastAsia="sr-Cyrl-CS"/>
        </w:rPr>
        <w:t>20.879.630</w:t>
      </w:r>
      <w:r w:rsidR="001538EF" w:rsidRPr="007C74A2">
        <w:rPr>
          <w:rFonts w:asciiTheme="minorHAnsi" w:hAnsiTheme="minorHAnsi"/>
          <w:color w:val="auto"/>
          <w:sz w:val="20"/>
          <w:szCs w:val="20"/>
          <w:lang w:val="sr-Cyrl-CS" w:eastAsia="sr-Cyrl-CS"/>
        </w:rPr>
        <w:t>,</w:t>
      </w:r>
      <w:r w:rsidRPr="007C74A2">
        <w:rPr>
          <w:rFonts w:asciiTheme="minorHAnsi" w:hAnsiTheme="minorHAnsi"/>
          <w:color w:val="auto"/>
          <w:sz w:val="20"/>
          <w:szCs w:val="20"/>
          <w:lang w:val="sr-Cyrl-CS" w:eastAsia="sr-Cyrl-CS"/>
        </w:rPr>
        <w:t>86</w:t>
      </w:r>
      <w:r>
        <w:rPr>
          <w:rFonts w:asciiTheme="minorHAnsi" w:hAnsiTheme="minorHAnsi"/>
          <w:color w:val="auto"/>
          <w:sz w:val="20"/>
          <w:szCs w:val="20"/>
          <w:lang w:val="sr-Cyrl-CS" w:eastAsia="sr-Cyrl-CS"/>
        </w:rPr>
        <w:t xml:space="preserve"> КМ, а чине је текућа средства у износу од </w:t>
      </w:r>
      <w:r w:rsidRPr="007C74A2">
        <w:rPr>
          <w:rFonts w:asciiTheme="minorHAnsi" w:hAnsiTheme="minorHAnsi"/>
          <w:color w:val="auto"/>
          <w:sz w:val="20"/>
          <w:szCs w:val="20"/>
          <w:lang w:val="sr-Cyrl-CS" w:eastAsia="sr-Cyrl-CS"/>
        </w:rPr>
        <w:t>20.553.861,09</w:t>
      </w:r>
      <w:r w:rsidR="00CA28AF">
        <w:rPr>
          <w:rFonts w:asciiTheme="minorHAnsi" w:hAnsiTheme="minorHAnsi"/>
          <w:color w:val="auto"/>
          <w:sz w:val="20"/>
          <w:szCs w:val="20"/>
          <w:lang w:val="sr-Cyrl-CS" w:eastAsia="sr-Cyrl-CS"/>
        </w:rPr>
        <w:t xml:space="preserve"> КМ</w:t>
      </w:r>
      <w:r>
        <w:rPr>
          <w:rFonts w:asciiTheme="minorHAnsi" w:hAnsiTheme="minorHAnsi"/>
          <w:color w:val="auto"/>
          <w:sz w:val="20"/>
          <w:szCs w:val="20"/>
          <w:lang w:val="sr-Cyrl-CS" w:eastAsia="sr-Cyrl-CS"/>
        </w:rPr>
        <w:t xml:space="preserve"> и стална средства у износу од </w:t>
      </w:r>
      <w:r w:rsidRPr="007C74A2">
        <w:rPr>
          <w:rFonts w:asciiTheme="minorHAnsi" w:hAnsiTheme="minorHAnsi"/>
          <w:color w:val="auto"/>
          <w:sz w:val="20"/>
          <w:szCs w:val="20"/>
          <w:lang w:val="sr-Cyrl-CS" w:eastAsia="sr-Cyrl-CS"/>
        </w:rPr>
        <w:t>325.769,77</w:t>
      </w:r>
      <w:r>
        <w:rPr>
          <w:rFonts w:asciiTheme="minorHAnsi" w:hAnsiTheme="minorHAnsi"/>
          <w:color w:val="auto"/>
          <w:sz w:val="20"/>
          <w:szCs w:val="20"/>
          <w:lang w:val="sr-Cyrl-CS" w:eastAsia="sr-Cyrl-CS"/>
        </w:rPr>
        <w:t xml:space="preserve"> КМ. Није било значајнијих промјена у обиму и структури пословне активе у односу на претходну годину.</w:t>
      </w:r>
    </w:p>
    <w:p w14:paraId="2351831C" w14:textId="77777777" w:rsidR="00AC030A" w:rsidRDefault="00AC030A" w:rsidP="001538EF">
      <w:pPr>
        <w:rPr>
          <w:rFonts w:asciiTheme="minorHAnsi" w:hAnsiTheme="minorHAnsi"/>
          <w:color w:val="auto"/>
          <w:sz w:val="20"/>
          <w:szCs w:val="20"/>
          <w:lang w:val="sr-Cyrl-CS" w:eastAsia="sr-Cyrl-CS"/>
        </w:rPr>
      </w:pPr>
    </w:p>
    <w:p w14:paraId="091F87E4" w14:textId="77777777" w:rsidR="00170349" w:rsidRDefault="00170349" w:rsidP="001538EF">
      <w:pPr>
        <w:rPr>
          <w:rFonts w:asciiTheme="minorHAnsi" w:hAnsiTheme="minorHAnsi"/>
          <w:color w:val="auto"/>
          <w:sz w:val="20"/>
          <w:szCs w:val="20"/>
          <w:lang w:val="sr-Cyrl-CS" w:eastAsia="sr-Cyrl-CS"/>
        </w:rPr>
      </w:pPr>
    </w:p>
    <w:p w14:paraId="19ACEA95" w14:textId="77777777" w:rsidR="001538EF" w:rsidRDefault="00543B93" w:rsidP="001538EF">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 У структури активе доминантно учешће имају текућа средства која обухватају следеће ставке:</w:t>
      </w:r>
    </w:p>
    <w:p w14:paraId="19B004D0" w14:textId="77777777" w:rsidR="0052360C" w:rsidRPr="007C74A2" w:rsidRDefault="0052360C" w:rsidP="001538EF">
      <w:pPr>
        <w:rPr>
          <w:rFonts w:asciiTheme="minorHAnsi" w:hAnsiTheme="minorHAnsi"/>
          <w:color w:val="auto"/>
          <w:sz w:val="20"/>
          <w:szCs w:val="20"/>
          <w:lang w:val="sr-Cyrl-CS" w:eastAsia="sr-Cyrl-CS"/>
        </w:rPr>
      </w:pPr>
    </w:p>
    <w:p w14:paraId="10B55943" w14:textId="77777777" w:rsidR="001538EF" w:rsidRPr="007C74A2" w:rsidRDefault="001538EF" w:rsidP="001538EF">
      <w:pPr>
        <w:pStyle w:val="ListParagraph"/>
        <w:numPr>
          <w:ilvl w:val="0"/>
          <w:numId w:val="21"/>
        </w:numPr>
        <w:tabs>
          <w:tab w:val="left" w:pos="1134"/>
          <w:tab w:val="left" w:pos="1776"/>
        </w:tabs>
        <w:ind w:hanging="1427"/>
        <w:rPr>
          <w:rFonts w:asciiTheme="minorHAnsi" w:hAnsiTheme="minorHAnsi"/>
          <w:color w:val="auto"/>
          <w:sz w:val="20"/>
          <w:szCs w:val="20"/>
          <w:lang w:val="sr-Cyrl-CS" w:eastAsia="sr-Cyrl-CS"/>
        </w:rPr>
      </w:pPr>
      <w:r w:rsidRPr="004B146F">
        <w:rPr>
          <w:rFonts w:asciiTheme="minorHAnsi" w:hAnsiTheme="minorHAnsi"/>
          <w:b/>
          <w:color w:val="auto"/>
          <w:sz w:val="20"/>
          <w:szCs w:val="20"/>
          <w:lang w:val="sr-Cyrl-CS" w:eastAsia="sr-Cyrl-CS"/>
        </w:rPr>
        <w:t>готовина и готовински еквиваленти</w:t>
      </w:r>
      <w:r w:rsidRPr="007C74A2">
        <w:rPr>
          <w:rFonts w:asciiTheme="minorHAnsi" w:hAnsiTheme="minorHAnsi"/>
          <w:color w:val="auto"/>
          <w:sz w:val="20"/>
          <w:szCs w:val="20"/>
          <w:lang w:val="sr-Cyrl-CS" w:eastAsia="sr-Cyrl-CS"/>
        </w:rPr>
        <w:t xml:space="preserve"> </w:t>
      </w:r>
      <w:r w:rsidR="007C74A2" w:rsidRPr="007C74A2">
        <w:rPr>
          <w:rFonts w:asciiTheme="minorHAnsi" w:hAnsiTheme="minorHAnsi"/>
          <w:color w:val="auto"/>
          <w:sz w:val="20"/>
          <w:szCs w:val="20"/>
          <w:lang w:val="sr-Cyrl-CS" w:eastAsia="sr-Cyrl-CS"/>
        </w:rPr>
        <w:t xml:space="preserve">у износу од </w:t>
      </w:r>
      <w:r w:rsidR="007C74A2" w:rsidRPr="005D68A8">
        <w:rPr>
          <w:rFonts w:ascii="Calibri" w:hAnsi="Calibri"/>
          <w:color w:val="auto"/>
          <w:sz w:val="20"/>
          <w:szCs w:val="20"/>
        </w:rPr>
        <w:t>854.171,43</w:t>
      </w:r>
      <w:r w:rsidR="007C74A2" w:rsidRPr="007C74A2">
        <w:rPr>
          <w:rFonts w:ascii="Calibri" w:hAnsi="Calibri"/>
          <w:color w:val="auto"/>
          <w:sz w:val="20"/>
          <w:szCs w:val="20"/>
          <w:lang w:val="sr-Cyrl-RS"/>
        </w:rPr>
        <w:t xml:space="preserve"> </w:t>
      </w:r>
      <w:r w:rsidRPr="007C74A2">
        <w:rPr>
          <w:rFonts w:asciiTheme="minorHAnsi" w:hAnsiTheme="minorHAnsi"/>
          <w:color w:val="auto"/>
          <w:sz w:val="20"/>
          <w:szCs w:val="20"/>
          <w:lang w:val="sr-Cyrl-CS" w:eastAsia="sr-Cyrl-CS"/>
        </w:rPr>
        <w:t>КМ</w:t>
      </w:r>
    </w:p>
    <w:p w14:paraId="182E0D93" w14:textId="77777777" w:rsidR="001538EF" w:rsidRPr="007C74A2" w:rsidRDefault="007C74A2" w:rsidP="001538EF">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4B146F">
        <w:rPr>
          <w:rFonts w:asciiTheme="minorHAnsi" w:hAnsiTheme="minorHAnsi"/>
          <w:b/>
          <w:color w:val="auto"/>
          <w:sz w:val="20"/>
          <w:szCs w:val="20"/>
          <w:lang w:val="sr-Cyrl-CS" w:eastAsia="sr-Cyrl-CS"/>
        </w:rPr>
        <w:t xml:space="preserve">орочени </w:t>
      </w:r>
      <w:r w:rsidR="001538EF" w:rsidRPr="004B146F">
        <w:rPr>
          <w:rFonts w:asciiTheme="minorHAnsi" w:hAnsiTheme="minorHAnsi"/>
          <w:b/>
          <w:color w:val="auto"/>
          <w:sz w:val="20"/>
          <w:szCs w:val="20"/>
          <w:lang w:val="sr-Cyrl-CS" w:eastAsia="sr-Cyrl-CS"/>
        </w:rPr>
        <w:t>депозити</w:t>
      </w:r>
      <w:r w:rsidR="001538EF" w:rsidRPr="007C74A2">
        <w:rPr>
          <w:rFonts w:asciiTheme="minorHAnsi" w:hAnsiTheme="minorHAnsi"/>
          <w:color w:val="auto"/>
          <w:sz w:val="20"/>
          <w:szCs w:val="20"/>
          <w:lang w:val="sr-Cyrl-CS" w:eastAsia="sr-Cyrl-CS"/>
        </w:rPr>
        <w:t xml:space="preserve">  </w:t>
      </w:r>
      <w:r w:rsidRPr="007C74A2">
        <w:rPr>
          <w:rFonts w:asciiTheme="minorHAnsi" w:hAnsiTheme="minorHAnsi"/>
          <w:color w:val="auto"/>
          <w:sz w:val="20"/>
          <w:szCs w:val="20"/>
          <w:lang w:val="sr-Cyrl-CS" w:eastAsia="sr-Cyrl-CS"/>
        </w:rPr>
        <w:t>у износу од 1</w:t>
      </w:r>
      <w:r w:rsidR="001538EF" w:rsidRPr="007C74A2">
        <w:rPr>
          <w:rFonts w:asciiTheme="minorHAnsi" w:hAnsiTheme="minorHAnsi"/>
          <w:color w:val="auto"/>
          <w:sz w:val="20"/>
          <w:szCs w:val="20"/>
          <w:lang w:val="sr-Cyrl-CS" w:eastAsia="sr-Cyrl-CS"/>
        </w:rPr>
        <w:t>00.000,00 КМ</w:t>
      </w:r>
    </w:p>
    <w:p w14:paraId="39CB76A7" w14:textId="77777777" w:rsidR="001538EF" w:rsidRPr="00AC030A" w:rsidRDefault="001538EF" w:rsidP="00AC030A">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4B146F">
        <w:rPr>
          <w:rFonts w:asciiTheme="minorHAnsi" w:hAnsiTheme="minorHAnsi"/>
          <w:b/>
          <w:color w:val="auto"/>
          <w:sz w:val="20"/>
          <w:szCs w:val="20"/>
          <w:lang w:val="sr-Cyrl-CS" w:eastAsia="sr-Cyrl-CS"/>
        </w:rPr>
        <w:t>потраживања</w:t>
      </w:r>
      <w:r w:rsidRPr="00543B93">
        <w:rPr>
          <w:rFonts w:asciiTheme="minorHAnsi" w:hAnsiTheme="minorHAnsi"/>
          <w:color w:val="auto"/>
          <w:sz w:val="20"/>
          <w:szCs w:val="20"/>
          <w:lang w:val="sr-Cyrl-CS" w:eastAsia="sr-Cyrl-CS"/>
        </w:rPr>
        <w:t xml:space="preserve"> </w:t>
      </w:r>
      <w:r w:rsidR="007C74A2" w:rsidRPr="00543B93">
        <w:rPr>
          <w:rFonts w:asciiTheme="minorHAnsi" w:hAnsiTheme="minorHAnsi"/>
          <w:color w:val="auto"/>
          <w:sz w:val="20"/>
          <w:szCs w:val="20"/>
          <w:lang w:val="sr-Cyrl-CS" w:eastAsia="sr-Cyrl-CS"/>
        </w:rPr>
        <w:t>у износу од 541.728,17 КМ, а односе се на</w:t>
      </w:r>
      <w:r w:rsidRPr="00543B93">
        <w:rPr>
          <w:rFonts w:asciiTheme="minorHAnsi" w:hAnsiTheme="minorHAnsi"/>
          <w:color w:val="auto"/>
          <w:sz w:val="20"/>
          <w:szCs w:val="20"/>
          <w:lang w:val="sr-Cyrl-CS" w:eastAsia="sr-Cyrl-CS"/>
        </w:rPr>
        <w:t>:</w:t>
      </w:r>
    </w:p>
    <w:p w14:paraId="4D93ABA0" w14:textId="77777777" w:rsidR="00655955" w:rsidRPr="00A445D7" w:rsidRDefault="00655955" w:rsidP="00AC030A">
      <w:pPr>
        <w:pStyle w:val="ListParagraph"/>
        <w:numPr>
          <w:ilvl w:val="0"/>
          <w:numId w:val="20"/>
        </w:numPr>
        <w:tabs>
          <w:tab w:val="left" w:pos="2484"/>
        </w:tabs>
        <w:ind w:left="1134" w:hanging="425"/>
        <w:rPr>
          <w:rFonts w:asciiTheme="minorHAnsi" w:hAnsiTheme="minorHAnsi"/>
          <w:color w:val="FF0000"/>
          <w:sz w:val="20"/>
          <w:szCs w:val="20"/>
          <w:lang w:val="sr-Cyrl-BA" w:eastAsia="sr-Cyrl-CS"/>
        </w:rPr>
      </w:pPr>
      <w:r w:rsidRPr="00A445D7">
        <w:rPr>
          <w:rFonts w:asciiTheme="minorHAnsi" w:hAnsiTheme="minorHAnsi"/>
          <w:color w:val="auto"/>
          <w:sz w:val="20"/>
          <w:szCs w:val="20"/>
          <w:lang w:val="sr-Cyrl-CS" w:eastAsia="sr-Cyrl-CS"/>
        </w:rPr>
        <w:t>потраживања за премије за издане гаранције у износу од</w:t>
      </w:r>
      <w:r w:rsidRPr="00A445D7">
        <w:rPr>
          <w:rFonts w:asciiTheme="minorHAnsi" w:hAnsiTheme="minorHAnsi"/>
          <w:color w:val="auto"/>
          <w:sz w:val="20"/>
          <w:szCs w:val="20"/>
          <w:lang w:val="sr-Latn-BA" w:eastAsia="sr-Cyrl-CS"/>
        </w:rPr>
        <w:t xml:space="preserve"> </w:t>
      </w:r>
      <w:r w:rsidRPr="00A445D7">
        <w:rPr>
          <w:rFonts w:asciiTheme="minorHAnsi" w:hAnsiTheme="minorHAnsi"/>
          <w:color w:val="auto"/>
          <w:sz w:val="20"/>
          <w:szCs w:val="20"/>
          <w:lang w:val="sr-Cyrl-RS" w:eastAsia="sr-Cyrl-CS"/>
        </w:rPr>
        <w:t>273.321,50</w:t>
      </w:r>
      <w:r w:rsidRPr="00A445D7">
        <w:rPr>
          <w:rFonts w:asciiTheme="minorHAnsi" w:hAnsiTheme="minorHAnsi"/>
          <w:color w:val="auto"/>
          <w:sz w:val="20"/>
          <w:szCs w:val="20"/>
          <w:lang w:val="sr-Latn-BA" w:eastAsia="sr-Cyrl-CS"/>
        </w:rPr>
        <w:t xml:space="preserve"> KM. </w:t>
      </w:r>
      <w:r w:rsidRPr="00F13F96">
        <w:rPr>
          <w:rFonts w:asciiTheme="minorHAnsi" w:hAnsiTheme="minorHAnsi"/>
          <w:color w:val="auto"/>
          <w:sz w:val="20"/>
          <w:szCs w:val="20"/>
          <w:lang w:val="sr-Cyrl-BA" w:eastAsia="sr-Cyrl-CS"/>
        </w:rPr>
        <w:t>Сектор за мониторинг и наплату потраживања Гарантног фонда РС је обављајући редовне активности у току 202</w:t>
      </w:r>
      <w:r w:rsidR="00F13F96" w:rsidRPr="00F13F96">
        <w:rPr>
          <w:rFonts w:asciiTheme="minorHAnsi" w:hAnsiTheme="minorHAnsi"/>
          <w:color w:val="auto"/>
          <w:sz w:val="20"/>
          <w:szCs w:val="20"/>
          <w:lang w:val="sr-Cyrl-BA" w:eastAsia="sr-Cyrl-CS"/>
        </w:rPr>
        <w:t>3</w:t>
      </w:r>
      <w:r w:rsidRPr="00F13F96">
        <w:rPr>
          <w:rFonts w:asciiTheme="minorHAnsi" w:hAnsiTheme="minorHAnsi"/>
          <w:color w:val="auto"/>
          <w:sz w:val="20"/>
          <w:szCs w:val="20"/>
          <w:lang w:val="sr-Cyrl-BA" w:eastAsia="sr-Cyrl-CS"/>
        </w:rPr>
        <w:t>. године доставио 1</w:t>
      </w:r>
      <w:r w:rsidR="00F13F96" w:rsidRPr="00F13F96">
        <w:rPr>
          <w:rFonts w:asciiTheme="minorHAnsi" w:hAnsiTheme="minorHAnsi"/>
          <w:color w:val="auto"/>
          <w:sz w:val="20"/>
          <w:szCs w:val="20"/>
          <w:lang w:val="sr-Cyrl-BA" w:eastAsia="sr-Cyrl-CS"/>
        </w:rPr>
        <w:t>9</w:t>
      </w:r>
      <w:r w:rsidRPr="00F13F96">
        <w:rPr>
          <w:rFonts w:asciiTheme="minorHAnsi" w:hAnsiTheme="minorHAnsi"/>
          <w:color w:val="auto"/>
          <w:sz w:val="20"/>
          <w:szCs w:val="20"/>
          <w:lang w:val="sr-Cyrl-BA" w:eastAsia="sr-Cyrl-CS"/>
        </w:rPr>
        <w:t>6 опомена  пред блокаду рачуна за</w:t>
      </w:r>
      <w:r w:rsidR="00F13F96" w:rsidRPr="00F13F96">
        <w:rPr>
          <w:rFonts w:asciiTheme="minorHAnsi" w:hAnsiTheme="minorHAnsi"/>
          <w:color w:val="auto"/>
          <w:sz w:val="20"/>
          <w:szCs w:val="20"/>
          <w:lang w:val="sr-Cyrl-BA" w:eastAsia="sr-Cyrl-CS"/>
        </w:rPr>
        <w:t xml:space="preserve"> неуредне налогодавце гаранција,</w:t>
      </w:r>
      <w:r w:rsidR="00F13F96">
        <w:rPr>
          <w:rFonts w:asciiTheme="minorHAnsi" w:hAnsiTheme="minorHAnsi"/>
          <w:color w:val="auto"/>
          <w:sz w:val="20"/>
          <w:szCs w:val="20"/>
          <w:lang w:val="sr-Cyrl-BA" w:eastAsia="sr-Cyrl-CS"/>
        </w:rPr>
        <w:t xml:space="preserve"> те извтшио 13 блокада рачина ради наплате потраживања путем мјенице.</w:t>
      </w:r>
      <w:r w:rsidR="00F13F96" w:rsidRPr="00F13F96">
        <w:rPr>
          <w:rFonts w:asciiTheme="minorHAnsi" w:hAnsiTheme="minorHAnsi"/>
          <w:color w:val="auto"/>
          <w:sz w:val="20"/>
          <w:szCs w:val="20"/>
          <w:lang w:val="sr-Cyrl-BA" w:eastAsia="sr-Cyrl-CS"/>
        </w:rPr>
        <w:t xml:space="preserve"> </w:t>
      </w:r>
    </w:p>
    <w:p w14:paraId="352BF37D" w14:textId="77777777" w:rsidR="00655955" w:rsidRPr="00AC030A" w:rsidRDefault="001538EF" w:rsidP="00AC030A">
      <w:pPr>
        <w:pStyle w:val="ListParagraph"/>
        <w:numPr>
          <w:ilvl w:val="0"/>
          <w:numId w:val="20"/>
        </w:numPr>
        <w:tabs>
          <w:tab w:val="left" w:pos="1418"/>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CS" w:eastAsia="sr-Cyrl-CS"/>
        </w:rPr>
        <w:t xml:space="preserve">потраживања за затезне камате </w:t>
      </w:r>
      <w:r w:rsidR="00A445D7" w:rsidRPr="00A445D7">
        <w:rPr>
          <w:rFonts w:asciiTheme="minorHAnsi" w:hAnsiTheme="minorHAnsi"/>
          <w:color w:val="auto"/>
          <w:sz w:val="20"/>
          <w:szCs w:val="20"/>
          <w:lang w:val="sr-Cyrl-CS" w:eastAsia="sr-Cyrl-CS"/>
        </w:rPr>
        <w:t>обрачунате услијед</w:t>
      </w:r>
      <w:r w:rsidRPr="00A445D7">
        <w:rPr>
          <w:rFonts w:asciiTheme="minorHAnsi" w:hAnsiTheme="minorHAnsi"/>
          <w:color w:val="auto"/>
          <w:sz w:val="20"/>
          <w:szCs w:val="20"/>
          <w:lang w:val="sr-Cyrl-CS" w:eastAsia="sr-Cyrl-CS"/>
        </w:rPr>
        <w:t xml:space="preserve"> </w:t>
      </w:r>
      <w:r w:rsidR="00A445D7" w:rsidRPr="00A445D7">
        <w:rPr>
          <w:rFonts w:asciiTheme="minorHAnsi" w:hAnsiTheme="minorHAnsi"/>
          <w:color w:val="auto"/>
          <w:sz w:val="20"/>
          <w:szCs w:val="20"/>
          <w:lang w:val="sr-Cyrl-CS" w:eastAsia="sr-Cyrl-CS"/>
        </w:rPr>
        <w:t>кашњења у плаћању</w:t>
      </w:r>
      <w:r w:rsidRPr="00A445D7">
        <w:rPr>
          <w:rFonts w:asciiTheme="minorHAnsi" w:hAnsiTheme="minorHAnsi"/>
          <w:color w:val="auto"/>
          <w:sz w:val="20"/>
          <w:szCs w:val="20"/>
          <w:lang w:val="sr-Cyrl-CS" w:eastAsia="sr-Cyrl-CS"/>
        </w:rPr>
        <w:t xml:space="preserve"> премије</w:t>
      </w:r>
      <w:r w:rsidR="00A445D7" w:rsidRPr="00A445D7">
        <w:rPr>
          <w:rFonts w:asciiTheme="minorHAnsi" w:hAnsiTheme="minorHAnsi"/>
          <w:color w:val="auto"/>
          <w:sz w:val="20"/>
          <w:szCs w:val="20"/>
          <w:lang w:val="sr-Cyrl-CS" w:eastAsia="sr-Cyrl-CS"/>
        </w:rPr>
        <w:t xml:space="preserve"> у износу од 294.772,27 КМ </w:t>
      </w:r>
      <w:r w:rsidRPr="00A445D7">
        <w:rPr>
          <w:rFonts w:asciiTheme="minorHAnsi" w:hAnsiTheme="minorHAnsi"/>
          <w:color w:val="auto"/>
          <w:sz w:val="20"/>
          <w:szCs w:val="20"/>
          <w:lang w:val="sr-Cyrl-CS" w:eastAsia="sr-Cyrl-CS"/>
        </w:rPr>
        <w:t>и ненаплаћене камате на орочена средства</w:t>
      </w:r>
      <w:r w:rsidR="00A445D7" w:rsidRPr="00A445D7">
        <w:rPr>
          <w:rFonts w:asciiTheme="minorHAnsi" w:hAnsiTheme="minorHAnsi"/>
          <w:color w:val="auto"/>
          <w:sz w:val="20"/>
          <w:szCs w:val="20"/>
          <w:lang w:val="sr-Cyrl-CS" w:eastAsia="sr-Cyrl-CS"/>
        </w:rPr>
        <w:t xml:space="preserve"> у износу од  </w:t>
      </w:r>
      <w:r w:rsidR="00A445D7">
        <w:rPr>
          <w:rFonts w:asciiTheme="minorHAnsi" w:hAnsiTheme="minorHAnsi"/>
          <w:color w:val="auto"/>
          <w:sz w:val="20"/>
          <w:szCs w:val="20"/>
          <w:lang w:val="sr-Cyrl-CS" w:eastAsia="sr-Cyrl-CS"/>
        </w:rPr>
        <w:t>137,</w:t>
      </w:r>
      <w:r w:rsidR="00A445D7" w:rsidRPr="00A445D7">
        <w:rPr>
          <w:rFonts w:asciiTheme="minorHAnsi" w:hAnsiTheme="minorHAnsi"/>
          <w:color w:val="auto"/>
          <w:sz w:val="20"/>
          <w:szCs w:val="20"/>
          <w:lang w:val="sr-Cyrl-CS" w:eastAsia="sr-Cyrl-CS"/>
        </w:rPr>
        <w:t>61 КМ</w:t>
      </w:r>
      <w:r w:rsidR="00AC030A">
        <w:rPr>
          <w:rFonts w:asciiTheme="minorHAnsi" w:hAnsiTheme="minorHAnsi"/>
          <w:color w:val="auto"/>
          <w:sz w:val="20"/>
          <w:szCs w:val="20"/>
          <w:lang w:val="sr-Cyrl-CS" w:eastAsia="sr-Cyrl-CS"/>
        </w:rPr>
        <w:t xml:space="preserve">. </w:t>
      </w:r>
      <w:r w:rsidR="00655955" w:rsidRPr="00AC030A">
        <w:rPr>
          <w:rFonts w:asciiTheme="minorHAnsi" w:hAnsiTheme="minorHAnsi"/>
          <w:color w:val="auto"/>
          <w:sz w:val="20"/>
          <w:szCs w:val="20"/>
          <w:lang w:val="sr-Cyrl-CS" w:eastAsia="sr-Cyrl-CS"/>
        </w:rPr>
        <w:t>Кориговани износ потраживања за премију и затезну камату, када се узме у обзир исправка вриједности наведених потраживања, износи 480.691,53 КМ.</w:t>
      </w:r>
    </w:p>
    <w:p w14:paraId="7228DE7F" w14:textId="77777777" w:rsidR="001538EF" w:rsidRPr="00A445D7" w:rsidRDefault="001538EF" w:rsidP="00AC030A">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 xml:space="preserve">потраживања за </w:t>
      </w:r>
      <w:r w:rsidR="00A445D7" w:rsidRPr="00A445D7">
        <w:rPr>
          <w:rFonts w:asciiTheme="minorHAnsi" w:hAnsiTheme="minorHAnsi"/>
          <w:color w:val="auto"/>
          <w:sz w:val="20"/>
          <w:szCs w:val="20"/>
          <w:lang w:val="sr-Cyrl-BA" w:eastAsia="sr-Cyrl-CS"/>
        </w:rPr>
        <w:t>премију за издане гаранције у оквиру портфеља за енергетску ефикасност у износу од</w:t>
      </w:r>
      <w:r w:rsidRPr="00A445D7">
        <w:rPr>
          <w:rFonts w:asciiTheme="minorHAnsi" w:hAnsiTheme="minorHAnsi"/>
          <w:color w:val="auto"/>
          <w:sz w:val="20"/>
          <w:szCs w:val="20"/>
          <w:lang w:val="sr-Cyrl-BA" w:eastAsia="sr-Cyrl-CS"/>
        </w:rPr>
        <w:t xml:space="preserve"> </w:t>
      </w:r>
      <w:r w:rsidR="00A445D7" w:rsidRPr="00A445D7">
        <w:rPr>
          <w:rFonts w:asciiTheme="minorHAnsi" w:hAnsiTheme="minorHAnsi"/>
          <w:color w:val="auto"/>
          <w:sz w:val="20"/>
          <w:szCs w:val="20"/>
          <w:lang w:val="sr-Cyrl-BA" w:eastAsia="sr-Cyrl-CS"/>
        </w:rPr>
        <w:t>8.789,83</w:t>
      </w:r>
      <w:r w:rsidRPr="00A445D7">
        <w:rPr>
          <w:rFonts w:asciiTheme="minorHAnsi" w:hAnsiTheme="minorHAnsi"/>
          <w:color w:val="auto"/>
          <w:sz w:val="20"/>
          <w:szCs w:val="20"/>
          <w:lang w:val="sr-Cyrl-BA" w:eastAsia="sr-Cyrl-CS"/>
        </w:rPr>
        <w:t xml:space="preserve"> КМ</w:t>
      </w:r>
    </w:p>
    <w:p w14:paraId="24EC910B" w14:textId="77777777" w:rsidR="001538EF" w:rsidRPr="00A445D7" w:rsidRDefault="001538EF" w:rsidP="00AC030A">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остала потраживања</w:t>
      </w:r>
      <w:r w:rsidR="00886690" w:rsidRPr="00A445D7">
        <w:rPr>
          <w:rFonts w:asciiTheme="minorHAnsi" w:hAnsiTheme="minorHAnsi"/>
          <w:color w:val="auto"/>
          <w:sz w:val="20"/>
          <w:szCs w:val="20"/>
          <w:lang w:val="sr-Cyrl-BA" w:eastAsia="sr-Cyrl-CS"/>
        </w:rPr>
        <w:t xml:space="preserve"> из оперативног пословања у износу од </w:t>
      </w:r>
      <w:r w:rsidR="00D42F9E">
        <w:rPr>
          <w:rFonts w:asciiTheme="minorHAnsi" w:hAnsiTheme="minorHAnsi"/>
          <w:color w:val="auto"/>
          <w:sz w:val="20"/>
          <w:szCs w:val="20"/>
          <w:lang w:val="sr-Cyrl-BA" w:eastAsia="sr-Cyrl-CS"/>
        </w:rPr>
        <w:t>52.</w:t>
      </w:r>
      <w:r w:rsidR="00655955">
        <w:rPr>
          <w:rFonts w:asciiTheme="minorHAnsi" w:hAnsiTheme="minorHAnsi"/>
          <w:color w:val="auto"/>
          <w:sz w:val="20"/>
          <w:szCs w:val="20"/>
          <w:lang w:val="sr-Cyrl-BA" w:eastAsia="sr-Cyrl-CS"/>
        </w:rPr>
        <w:t>247</w:t>
      </w:r>
      <w:r w:rsidR="00D42F9E">
        <w:rPr>
          <w:rFonts w:asciiTheme="minorHAnsi" w:hAnsiTheme="minorHAnsi"/>
          <w:color w:val="auto"/>
          <w:sz w:val="20"/>
          <w:szCs w:val="20"/>
          <w:lang w:val="sr-Cyrl-BA" w:eastAsia="sr-Cyrl-CS"/>
        </w:rPr>
        <w:t>,02</w:t>
      </w:r>
      <w:r w:rsidR="00886690" w:rsidRPr="00A445D7">
        <w:rPr>
          <w:rFonts w:asciiTheme="minorHAnsi" w:hAnsiTheme="minorHAnsi"/>
          <w:color w:val="auto"/>
          <w:sz w:val="20"/>
          <w:szCs w:val="20"/>
          <w:lang w:val="sr-Cyrl-BA" w:eastAsia="sr-Cyrl-CS"/>
        </w:rPr>
        <w:t xml:space="preserve"> КМ, </w:t>
      </w:r>
      <w:r w:rsidRPr="00A445D7">
        <w:rPr>
          <w:rFonts w:asciiTheme="minorHAnsi" w:hAnsiTheme="minorHAnsi"/>
          <w:color w:val="auto"/>
          <w:sz w:val="20"/>
          <w:szCs w:val="20"/>
          <w:lang w:val="sr-Cyrl-BA" w:eastAsia="sr-Cyrl-CS"/>
        </w:rPr>
        <w:t>а која се односе на</w:t>
      </w:r>
      <w:r w:rsidR="00D42F9E">
        <w:rPr>
          <w:rFonts w:asciiTheme="minorHAnsi" w:hAnsiTheme="minorHAnsi"/>
          <w:color w:val="auto"/>
          <w:sz w:val="20"/>
          <w:szCs w:val="20"/>
          <w:lang w:val="sr-Cyrl-BA" w:eastAsia="sr-Cyrl-CS"/>
        </w:rPr>
        <w:t xml:space="preserve"> призната</w:t>
      </w:r>
      <w:r w:rsidRPr="00A445D7">
        <w:rPr>
          <w:rFonts w:asciiTheme="minorHAnsi" w:hAnsiTheme="minorHAnsi"/>
          <w:color w:val="auto"/>
          <w:sz w:val="20"/>
          <w:szCs w:val="20"/>
          <w:lang w:val="sr-Cyrl-BA" w:eastAsia="sr-Cyrl-CS"/>
        </w:rPr>
        <w:t xml:space="preserve"> потраживања за камату на орочена средства у </w:t>
      </w:r>
      <w:r w:rsidR="00886690" w:rsidRPr="00A445D7">
        <w:rPr>
          <w:rFonts w:asciiTheme="minorHAnsi" w:hAnsiTheme="minorHAnsi"/>
          <w:color w:val="auto"/>
          <w:sz w:val="20"/>
          <w:szCs w:val="20"/>
          <w:lang w:val="sr-Cyrl-BA" w:eastAsia="sr-Cyrl-CS"/>
        </w:rPr>
        <w:t>Банци Српске</w:t>
      </w:r>
      <w:r w:rsidRPr="00A445D7">
        <w:rPr>
          <w:rFonts w:asciiTheme="minorHAnsi" w:hAnsiTheme="minorHAnsi"/>
          <w:color w:val="auto"/>
          <w:sz w:val="20"/>
          <w:szCs w:val="20"/>
          <w:lang w:val="sr-Cyrl-BA" w:eastAsia="sr-Cyrl-CS"/>
        </w:rPr>
        <w:t xml:space="preserve"> у сте</w:t>
      </w:r>
      <w:r w:rsidR="00A445D7">
        <w:rPr>
          <w:rFonts w:asciiTheme="minorHAnsi" w:hAnsiTheme="minorHAnsi"/>
          <w:color w:val="auto"/>
          <w:sz w:val="20"/>
          <w:szCs w:val="20"/>
          <w:lang w:val="sr-Cyrl-BA" w:eastAsia="sr-Cyrl-CS"/>
        </w:rPr>
        <w:t xml:space="preserve">чају у износу од </w:t>
      </w:r>
      <w:r w:rsidR="00D42F9E">
        <w:rPr>
          <w:rFonts w:asciiTheme="minorHAnsi" w:hAnsiTheme="minorHAnsi"/>
          <w:color w:val="auto"/>
          <w:sz w:val="20"/>
          <w:szCs w:val="20"/>
          <w:lang w:val="sr-Cyrl-BA" w:eastAsia="sr-Cyrl-CS"/>
        </w:rPr>
        <w:t>41.839,70</w:t>
      </w:r>
      <w:r w:rsidR="00A445D7">
        <w:rPr>
          <w:rFonts w:asciiTheme="minorHAnsi" w:hAnsiTheme="minorHAnsi"/>
          <w:color w:val="auto"/>
          <w:sz w:val="20"/>
          <w:szCs w:val="20"/>
          <w:lang w:val="sr-Cyrl-BA" w:eastAsia="sr-Cyrl-CS"/>
        </w:rPr>
        <w:t xml:space="preserve"> КМ, </w:t>
      </w:r>
      <w:r w:rsidRPr="00A445D7">
        <w:rPr>
          <w:rFonts w:asciiTheme="minorHAnsi" w:hAnsiTheme="minorHAnsi"/>
          <w:color w:val="auto"/>
          <w:sz w:val="20"/>
          <w:szCs w:val="20"/>
          <w:lang w:val="sr-Cyrl-BA" w:eastAsia="sr-Cyrl-CS"/>
        </w:rPr>
        <w:t xml:space="preserve">потраживања за рефундацију за трудничко боловање у износу од </w:t>
      </w:r>
      <w:r w:rsidR="00886690" w:rsidRPr="00A445D7">
        <w:rPr>
          <w:rFonts w:asciiTheme="minorHAnsi" w:hAnsiTheme="minorHAnsi"/>
          <w:color w:val="auto"/>
          <w:sz w:val="20"/>
          <w:szCs w:val="20"/>
          <w:lang w:val="sr-Cyrl-BA" w:eastAsia="sr-Cyrl-CS"/>
        </w:rPr>
        <w:t>10.145,62</w:t>
      </w:r>
      <w:r w:rsidRPr="00A445D7">
        <w:rPr>
          <w:rFonts w:asciiTheme="minorHAnsi" w:hAnsiTheme="minorHAnsi"/>
          <w:color w:val="auto"/>
          <w:sz w:val="20"/>
          <w:szCs w:val="20"/>
          <w:lang w:val="sr-Cyrl-BA" w:eastAsia="sr-Cyrl-CS"/>
        </w:rPr>
        <w:t xml:space="preserve"> КМ</w:t>
      </w:r>
      <w:r w:rsidR="00A445D7" w:rsidRPr="00A445D7">
        <w:rPr>
          <w:rFonts w:asciiTheme="minorHAnsi" w:hAnsiTheme="minorHAnsi"/>
          <w:color w:val="auto"/>
          <w:sz w:val="20"/>
          <w:szCs w:val="20"/>
          <w:lang w:val="sr-Cyrl-BA" w:eastAsia="sr-Cyrl-CS"/>
        </w:rPr>
        <w:t>,</w:t>
      </w:r>
      <w:r w:rsidRPr="00A445D7">
        <w:rPr>
          <w:rFonts w:asciiTheme="minorHAnsi" w:hAnsiTheme="minorHAnsi"/>
          <w:color w:val="auto"/>
          <w:sz w:val="20"/>
          <w:szCs w:val="20"/>
          <w:lang w:val="sr-Cyrl-BA" w:eastAsia="sr-Cyrl-CS"/>
        </w:rPr>
        <w:t xml:space="preserve"> те остала потраживања</w:t>
      </w:r>
      <w:r w:rsidR="00AC030A">
        <w:rPr>
          <w:rFonts w:asciiTheme="minorHAnsi" w:hAnsiTheme="minorHAnsi"/>
          <w:color w:val="auto"/>
          <w:sz w:val="20"/>
          <w:szCs w:val="20"/>
          <w:lang w:val="sr-Cyrl-BA" w:eastAsia="sr-Cyrl-CS"/>
        </w:rPr>
        <w:t xml:space="preserve"> из оперативног пословања</w:t>
      </w:r>
      <w:r w:rsidRPr="00A445D7">
        <w:rPr>
          <w:rFonts w:asciiTheme="minorHAnsi" w:hAnsiTheme="minorHAnsi"/>
          <w:color w:val="auto"/>
          <w:sz w:val="20"/>
          <w:szCs w:val="20"/>
          <w:lang w:val="sr-Cyrl-BA" w:eastAsia="sr-Cyrl-CS"/>
        </w:rPr>
        <w:t xml:space="preserve"> у износу од </w:t>
      </w:r>
      <w:r w:rsidR="00A445D7" w:rsidRPr="00A445D7">
        <w:rPr>
          <w:rFonts w:asciiTheme="minorHAnsi" w:hAnsiTheme="minorHAnsi"/>
          <w:color w:val="auto"/>
          <w:sz w:val="20"/>
          <w:szCs w:val="20"/>
          <w:lang w:val="sr-Cyrl-BA" w:eastAsia="sr-Cyrl-CS"/>
        </w:rPr>
        <w:t>327,70</w:t>
      </w:r>
      <w:r w:rsidRPr="00A445D7">
        <w:rPr>
          <w:rFonts w:asciiTheme="minorHAnsi" w:hAnsiTheme="minorHAnsi"/>
          <w:color w:val="auto"/>
          <w:sz w:val="20"/>
          <w:szCs w:val="20"/>
          <w:lang w:val="sr-Cyrl-BA" w:eastAsia="sr-Cyrl-CS"/>
        </w:rPr>
        <w:t xml:space="preserve"> КМ</w:t>
      </w:r>
    </w:p>
    <w:p w14:paraId="228523D9" w14:textId="77777777" w:rsidR="001538EF" w:rsidRPr="007C74A2" w:rsidRDefault="004C0CBD" w:rsidP="00AC030A">
      <w:pPr>
        <w:pStyle w:val="ListParagraph"/>
        <w:numPr>
          <w:ilvl w:val="0"/>
          <w:numId w:val="25"/>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val="sr-Cyrl-CS" w:eastAsia="sr-Cyrl-CS"/>
        </w:rPr>
        <w:t>хартије од вриједности</w:t>
      </w:r>
      <w:r>
        <w:rPr>
          <w:rFonts w:asciiTheme="minorHAnsi" w:hAnsiTheme="minorHAnsi"/>
          <w:color w:val="auto"/>
          <w:sz w:val="20"/>
          <w:szCs w:val="20"/>
          <w:lang w:val="sr-Cyrl-CS" w:eastAsia="sr-Cyrl-CS"/>
        </w:rPr>
        <w:t xml:space="preserve"> у </w:t>
      </w:r>
      <w:r w:rsidR="001538EF" w:rsidRPr="007C74A2">
        <w:rPr>
          <w:rFonts w:asciiTheme="minorHAnsi" w:hAnsiTheme="minorHAnsi"/>
          <w:color w:val="auto"/>
          <w:sz w:val="20"/>
          <w:szCs w:val="20"/>
          <w:lang w:val="sr-Cyrl-CS" w:eastAsia="sr-Cyrl-CS"/>
        </w:rPr>
        <w:t xml:space="preserve">износу од </w:t>
      </w:r>
      <w:r w:rsidR="007C74A2" w:rsidRPr="005D68A8">
        <w:rPr>
          <w:rFonts w:ascii="Calibri" w:hAnsi="Calibri"/>
          <w:color w:val="auto"/>
          <w:sz w:val="20"/>
          <w:szCs w:val="20"/>
        </w:rPr>
        <w:t>11.641.849,00</w:t>
      </w:r>
      <w:r w:rsidR="007C74A2" w:rsidRPr="007C74A2">
        <w:rPr>
          <w:rFonts w:ascii="Calibri" w:hAnsi="Calibri"/>
          <w:color w:val="auto"/>
          <w:sz w:val="20"/>
          <w:szCs w:val="20"/>
          <w:lang w:val="sr-Cyrl-RS"/>
        </w:rPr>
        <w:t xml:space="preserve"> КМ</w:t>
      </w:r>
      <w:r w:rsidR="00AC030A">
        <w:rPr>
          <w:rFonts w:ascii="Calibri" w:hAnsi="Calibri"/>
          <w:color w:val="auto"/>
          <w:sz w:val="20"/>
          <w:szCs w:val="20"/>
          <w:lang w:val="sr-Cyrl-RS"/>
        </w:rPr>
        <w:t xml:space="preserve"> са исправком вриједности</w:t>
      </w:r>
      <w:r>
        <w:rPr>
          <w:rFonts w:ascii="Calibri" w:hAnsi="Calibri"/>
          <w:color w:val="auto"/>
          <w:sz w:val="20"/>
          <w:szCs w:val="20"/>
          <w:lang w:val="sr-Cyrl-RS"/>
        </w:rPr>
        <w:t xml:space="preserve">, од чега се 11.434.960,90 КМ односи на дужничке хартије од вриједности које се држе до рока доспијећа, а </w:t>
      </w:r>
      <w:r w:rsidR="007C74A2" w:rsidRPr="007C74A2">
        <w:rPr>
          <w:rFonts w:ascii="Calibri" w:hAnsi="Calibri"/>
          <w:color w:val="auto"/>
          <w:sz w:val="20"/>
          <w:szCs w:val="20"/>
          <w:lang w:val="sr-Cyrl-RS"/>
        </w:rPr>
        <w:t xml:space="preserve"> </w:t>
      </w:r>
      <w:r>
        <w:rPr>
          <w:rFonts w:ascii="Calibri" w:hAnsi="Calibri"/>
          <w:color w:val="auto"/>
          <w:sz w:val="20"/>
          <w:szCs w:val="20"/>
          <w:lang w:val="sr-Cyrl-RS"/>
        </w:rPr>
        <w:t>206.888,08 КМ на потраживање по основу камате на исте</w:t>
      </w:r>
    </w:p>
    <w:p w14:paraId="68BCEEEE" w14:textId="77777777" w:rsidR="00942B0B" w:rsidRPr="00942B0B" w:rsidRDefault="004B146F" w:rsidP="00AC030A">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val="sr-Cyrl-CS" w:eastAsia="sr-Cyrl-CS"/>
        </w:rPr>
        <w:t>остали пласмани</w:t>
      </w:r>
      <w:r w:rsidR="004C0CBD">
        <w:rPr>
          <w:rFonts w:asciiTheme="minorHAnsi" w:hAnsiTheme="minorHAnsi"/>
          <w:color w:val="auto"/>
          <w:sz w:val="20"/>
          <w:szCs w:val="20"/>
          <w:lang w:val="sr-Cyrl-CS" w:eastAsia="sr-Cyrl-CS"/>
        </w:rPr>
        <w:t xml:space="preserve"> у износу од 7.398.808,11 КМ</w:t>
      </w:r>
      <w:r>
        <w:rPr>
          <w:rFonts w:asciiTheme="minorHAnsi" w:hAnsiTheme="minorHAnsi"/>
          <w:color w:val="auto"/>
          <w:sz w:val="20"/>
          <w:szCs w:val="20"/>
          <w:lang w:val="sr-Cyrl-CS" w:eastAsia="sr-Cyrl-CS"/>
        </w:rPr>
        <w:t>,</w:t>
      </w:r>
      <w:r w:rsidR="004C0CBD">
        <w:rPr>
          <w:rFonts w:asciiTheme="minorHAnsi" w:hAnsiTheme="minorHAnsi"/>
          <w:color w:val="auto"/>
          <w:sz w:val="20"/>
          <w:szCs w:val="20"/>
          <w:lang w:val="sr-Cyrl-CS" w:eastAsia="sr-Cyrl-CS"/>
        </w:rPr>
        <w:t xml:space="preserve"> који се односе на</w:t>
      </w:r>
      <w:r>
        <w:rPr>
          <w:rFonts w:asciiTheme="minorHAnsi" w:hAnsiTheme="minorHAnsi"/>
          <w:color w:val="auto"/>
          <w:sz w:val="20"/>
          <w:szCs w:val="20"/>
          <w:lang w:val="sr-Cyrl-CS" w:eastAsia="sr-Cyrl-CS"/>
        </w:rPr>
        <w:t>:</w:t>
      </w:r>
    </w:p>
    <w:p w14:paraId="33271C05" w14:textId="77777777" w:rsidR="004B146F" w:rsidRPr="004B146F" w:rsidRDefault="004B146F" w:rsidP="00AC030A">
      <w:pPr>
        <w:pStyle w:val="ListParagraph"/>
        <w:numPr>
          <w:ilvl w:val="0"/>
          <w:numId w:val="23"/>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потраживања од Банке</w:t>
      </w:r>
      <w:r w:rsidR="001538EF" w:rsidRPr="004C0CBD">
        <w:rPr>
          <w:rFonts w:asciiTheme="minorHAnsi" w:hAnsiTheme="minorHAnsi"/>
          <w:color w:val="auto"/>
          <w:sz w:val="20"/>
          <w:szCs w:val="20"/>
          <w:lang w:val="sr-Cyrl-CS" w:eastAsia="sr-Cyrl-CS"/>
        </w:rPr>
        <w:t xml:space="preserve"> Српске у стечају у износу од 2.</w:t>
      </w:r>
      <w:r w:rsidR="004C0CBD" w:rsidRPr="004C0CBD">
        <w:rPr>
          <w:rFonts w:asciiTheme="minorHAnsi" w:hAnsiTheme="minorHAnsi"/>
          <w:color w:val="auto"/>
          <w:sz w:val="20"/>
          <w:szCs w:val="20"/>
          <w:lang w:val="sr-Cyrl-CS" w:eastAsia="sr-Cyrl-CS"/>
        </w:rPr>
        <w:t>041.231,98</w:t>
      </w:r>
      <w:r>
        <w:rPr>
          <w:rFonts w:asciiTheme="minorHAnsi" w:hAnsiTheme="minorHAnsi"/>
          <w:color w:val="auto"/>
          <w:sz w:val="20"/>
          <w:szCs w:val="20"/>
          <w:lang w:val="sr-Cyrl-CS" w:eastAsia="sr-Cyrl-CS"/>
        </w:rPr>
        <w:t xml:space="preserve"> КМ и Бобар банке</w:t>
      </w:r>
      <w:r w:rsidR="001538EF" w:rsidRPr="004C0CBD">
        <w:rPr>
          <w:rFonts w:asciiTheme="minorHAnsi" w:hAnsiTheme="minorHAnsi"/>
          <w:color w:val="auto"/>
          <w:sz w:val="20"/>
          <w:szCs w:val="20"/>
          <w:lang w:val="sr-Cyrl-CS" w:eastAsia="sr-Cyrl-CS"/>
        </w:rPr>
        <w:t xml:space="preserve"> у </w:t>
      </w:r>
      <w:r w:rsidR="004C0CBD" w:rsidRPr="004C0CBD">
        <w:rPr>
          <w:rFonts w:asciiTheme="minorHAnsi" w:hAnsiTheme="minorHAnsi"/>
          <w:color w:val="auto"/>
          <w:sz w:val="20"/>
          <w:szCs w:val="20"/>
          <w:lang w:val="sr-Cyrl-CS" w:eastAsia="sr-Cyrl-CS"/>
        </w:rPr>
        <w:t>ликвидацији</w:t>
      </w:r>
      <w:r w:rsidR="001538EF" w:rsidRPr="004C0CBD">
        <w:rPr>
          <w:rFonts w:asciiTheme="minorHAnsi" w:hAnsiTheme="minorHAnsi"/>
          <w:color w:val="auto"/>
          <w:sz w:val="20"/>
          <w:szCs w:val="20"/>
          <w:lang w:val="sr-Cyrl-CS" w:eastAsia="sr-Cyrl-CS"/>
        </w:rPr>
        <w:t xml:space="preserve">  у износу од </w:t>
      </w:r>
      <w:r w:rsidR="004C0CBD" w:rsidRPr="004C0CBD">
        <w:rPr>
          <w:rFonts w:asciiTheme="minorHAnsi" w:hAnsiTheme="minorHAnsi"/>
          <w:color w:val="auto"/>
          <w:sz w:val="20"/>
          <w:szCs w:val="20"/>
          <w:lang w:val="sr-Cyrl-CS" w:eastAsia="sr-Cyrl-CS"/>
        </w:rPr>
        <w:t>3.689.596</w:t>
      </w:r>
      <w:r w:rsidR="001538EF" w:rsidRPr="004C0CBD">
        <w:rPr>
          <w:rFonts w:asciiTheme="minorHAnsi" w:hAnsiTheme="minorHAnsi"/>
          <w:color w:val="auto"/>
          <w:sz w:val="20"/>
          <w:szCs w:val="20"/>
          <w:lang w:val="sr-Cyrl-CS" w:eastAsia="sr-Cyrl-CS"/>
        </w:rPr>
        <w:t>,</w:t>
      </w:r>
      <w:r w:rsidR="004C0CBD" w:rsidRPr="004C0CBD">
        <w:rPr>
          <w:rFonts w:asciiTheme="minorHAnsi" w:hAnsiTheme="minorHAnsi"/>
          <w:color w:val="auto"/>
          <w:sz w:val="20"/>
          <w:szCs w:val="20"/>
          <w:lang w:val="sr-Cyrl-CS" w:eastAsia="sr-Cyrl-CS"/>
        </w:rPr>
        <w:t>41</w:t>
      </w:r>
      <w:r w:rsidR="001538EF" w:rsidRPr="004C0CBD">
        <w:rPr>
          <w:rFonts w:asciiTheme="minorHAnsi" w:hAnsiTheme="minorHAnsi"/>
          <w:color w:val="auto"/>
          <w:sz w:val="20"/>
          <w:szCs w:val="20"/>
          <w:lang w:val="sr-Cyrl-CS" w:eastAsia="sr-Cyrl-CS"/>
        </w:rPr>
        <w:t xml:space="preserve"> КМ</w:t>
      </w:r>
      <w:r w:rsidR="004C0CBD" w:rsidRPr="004C0CBD">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w:t>
      </w:r>
      <w:r w:rsidR="004C0CBD" w:rsidRPr="004C0CBD">
        <w:rPr>
          <w:rFonts w:asciiTheme="minorHAnsi" w:hAnsiTheme="minorHAnsi"/>
          <w:color w:val="auto"/>
          <w:sz w:val="20"/>
          <w:szCs w:val="20"/>
          <w:lang w:val="sr-Cyrl-CS" w:eastAsia="sr-Cyrl-CS"/>
        </w:rPr>
        <w:t>са исправкама вриједности</w:t>
      </w:r>
      <w:r>
        <w:rPr>
          <w:rFonts w:asciiTheme="minorHAnsi" w:hAnsiTheme="minorHAnsi"/>
          <w:color w:val="auto"/>
          <w:sz w:val="20"/>
          <w:szCs w:val="20"/>
          <w:lang w:val="sr-Cyrl-CS" w:eastAsia="sr-Cyrl-CS"/>
        </w:rPr>
        <w:t>)</w:t>
      </w:r>
    </w:p>
    <w:p w14:paraId="7E6AB372" w14:textId="77777777" w:rsidR="004B146F" w:rsidRPr="004B146F" w:rsidRDefault="004B146F" w:rsidP="00AC030A">
      <w:pPr>
        <w:pStyle w:val="ListParagraph"/>
        <w:numPr>
          <w:ilvl w:val="0"/>
          <w:numId w:val="23"/>
        </w:numPr>
        <w:tabs>
          <w:tab w:val="left" w:pos="1134"/>
        </w:tabs>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       </w:t>
      </w:r>
      <w:r w:rsidR="001538EF" w:rsidRPr="004B146F">
        <w:rPr>
          <w:rFonts w:asciiTheme="minorHAnsi" w:hAnsiTheme="minorHAnsi"/>
          <w:color w:val="auto"/>
          <w:sz w:val="20"/>
          <w:szCs w:val="20"/>
          <w:lang w:val="sr-Cyrl-CS" w:eastAsia="sr-Cyrl-CS"/>
        </w:rPr>
        <w:t xml:space="preserve">пласмане по извршеним плаћањима за гаранције са исправкама вриједности у износу од </w:t>
      </w:r>
      <w:r>
        <w:rPr>
          <w:rFonts w:asciiTheme="minorHAnsi" w:hAnsiTheme="minorHAnsi"/>
          <w:color w:val="auto"/>
          <w:sz w:val="20"/>
          <w:szCs w:val="20"/>
          <w:lang w:val="sr-Cyrl-CS" w:eastAsia="sr-Cyrl-CS"/>
        </w:rPr>
        <w:t>1.667.979,72 КМ</w:t>
      </w:r>
      <w:r w:rsidRPr="004B146F">
        <w:rPr>
          <w:rFonts w:asciiTheme="minorHAnsi" w:hAnsiTheme="minorHAnsi"/>
          <w:color w:val="auto"/>
          <w:sz w:val="20"/>
          <w:szCs w:val="20"/>
          <w:lang w:val="sr-Cyrl-CS" w:eastAsia="sr-Cyrl-CS"/>
        </w:rPr>
        <w:t xml:space="preserve"> </w:t>
      </w:r>
    </w:p>
    <w:p w14:paraId="5E730F21" w14:textId="77777777" w:rsidR="001538EF" w:rsidRDefault="004B146F" w:rsidP="00AC030A">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val="sr-Cyrl-CS" w:eastAsia="sr-Cyrl-CS"/>
        </w:rPr>
        <w:t>активна временска разграничења</w:t>
      </w:r>
      <w:r w:rsidRPr="00942B0B">
        <w:rPr>
          <w:rFonts w:asciiTheme="minorHAnsi" w:hAnsiTheme="minorHAnsi"/>
          <w:color w:val="auto"/>
          <w:sz w:val="20"/>
          <w:szCs w:val="20"/>
          <w:lang w:val="sr-Cyrl-CS" w:eastAsia="sr-Cyrl-CS"/>
        </w:rPr>
        <w:t xml:space="preserve"> (АВР) износе 17.304,38 КМ, а већински дио се односи на разграничене трошкове затезне камате</w:t>
      </w:r>
    </w:p>
    <w:p w14:paraId="7F18426C" w14:textId="77777777" w:rsidR="008F7B16" w:rsidRDefault="008F7B16" w:rsidP="008F7B16">
      <w:pPr>
        <w:pStyle w:val="ListParagraph"/>
        <w:tabs>
          <w:tab w:val="left" w:pos="1134"/>
        </w:tabs>
        <w:ind w:left="1418"/>
        <w:rPr>
          <w:rFonts w:asciiTheme="minorHAnsi" w:hAnsiTheme="minorHAnsi"/>
          <w:color w:val="auto"/>
          <w:sz w:val="20"/>
          <w:szCs w:val="20"/>
          <w:lang w:val="sr-Cyrl-CS" w:eastAsia="sr-Cyrl-CS"/>
        </w:rPr>
      </w:pPr>
    </w:p>
    <w:p w14:paraId="60B9167A" w14:textId="77777777" w:rsidR="00CA28AF" w:rsidRDefault="00AC030A" w:rsidP="00CA28AF">
      <w:pPr>
        <w:tabs>
          <w:tab w:val="left" w:pos="1134"/>
        </w:tabs>
        <w:ind w:left="709"/>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Ст</w:t>
      </w:r>
      <w:r w:rsidR="00CA28AF">
        <w:rPr>
          <w:rFonts w:asciiTheme="minorHAnsi" w:hAnsiTheme="minorHAnsi"/>
          <w:color w:val="auto"/>
          <w:sz w:val="20"/>
          <w:szCs w:val="20"/>
          <w:lang w:val="sr-Cyrl-CS" w:eastAsia="sr-Cyrl-CS"/>
        </w:rPr>
        <w:t xml:space="preserve">ална средства </w:t>
      </w:r>
      <w:r w:rsidR="008F7B16">
        <w:rPr>
          <w:rFonts w:asciiTheme="minorHAnsi" w:hAnsiTheme="minorHAnsi"/>
          <w:color w:val="auto"/>
          <w:sz w:val="20"/>
          <w:szCs w:val="20"/>
          <w:lang w:val="sr-Cyrl-CS" w:eastAsia="sr-Cyrl-CS"/>
        </w:rPr>
        <w:t xml:space="preserve">у износу од 325.769,77 КМ </w:t>
      </w:r>
      <w:r w:rsidR="00CA28AF">
        <w:rPr>
          <w:rFonts w:asciiTheme="minorHAnsi" w:hAnsiTheme="minorHAnsi"/>
          <w:color w:val="auto"/>
          <w:sz w:val="20"/>
          <w:szCs w:val="20"/>
          <w:lang w:val="sr-Cyrl-CS" w:eastAsia="sr-Cyrl-CS"/>
        </w:rPr>
        <w:t>обухватају следеће ставке:</w:t>
      </w:r>
    </w:p>
    <w:p w14:paraId="37A0403B" w14:textId="77777777" w:rsidR="0052360C" w:rsidRPr="00CA28AF" w:rsidRDefault="0052360C" w:rsidP="00CA28AF">
      <w:pPr>
        <w:tabs>
          <w:tab w:val="left" w:pos="1134"/>
        </w:tabs>
        <w:ind w:left="709"/>
        <w:rPr>
          <w:rFonts w:asciiTheme="minorHAnsi" w:hAnsiTheme="minorHAnsi"/>
          <w:color w:val="auto"/>
          <w:sz w:val="20"/>
          <w:szCs w:val="20"/>
          <w:lang w:val="sr-Cyrl-CS" w:eastAsia="sr-Cyrl-CS"/>
        </w:rPr>
      </w:pPr>
    </w:p>
    <w:p w14:paraId="19CCDF38" w14:textId="77777777"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основна средства</w:t>
      </w:r>
      <w:r w:rsidRPr="00CA28AF">
        <w:rPr>
          <w:rFonts w:asciiTheme="minorHAnsi" w:hAnsiTheme="minorHAnsi"/>
          <w:color w:val="auto"/>
          <w:sz w:val="20"/>
          <w:szCs w:val="20"/>
          <w:lang w:val="sr-Cyrl-CS" w:eastAsia="sr-Cyrl-CS"/>
        </w:rPr>
        <w:t xml:space="preserve"> се односе на улагања у опрему за рад Фонда</w:t>
      </w:r>
      <w:r>
        <w:rPr>
          <w:rFonts w:asciiTheme="minorHAnsi" w:hAnsiTheme="minorHAnsi"/>
          <w:color w:val="auto"/>
          <w:sz w:val="20"/>
          <w:szCs w:val="20"/>
          <w:lang w:val="sr-Cyrl-CS" w:eastAsia="sr-Cyrl-CS"/>
        </w:rPr>
        <w:t xml:space="preserve"> у износу од 374.777,00 КМ и улагањ</w:t>
      </w:r>
      <w:r w:rsidR="00E00B0B">
        <w:rPr>
          <w:rFonts w:asciiTheme="minorHAnsi" w:hAnsiTheme="minorHAnsi"/>
          <w:color w:val="auto"/>
          <w:sz w:val="20"/>
          <w:szCs w:val="20"/>
          <w:lang w:val="sr-Cyrl-CS" w:eastAsia="sr-Cyrl-CS"/>
        </w:rPr>
        <w:t>е</w:t>
      </w:r>
      <w:r>
        <w:rPr>
          <w:rFonts w:asciiTheme="minorHAnsi" w:hAnsiTheme="minorHAnsi"/>
          <w:color w:val="auto"/>
          <w:sz w:val="20"/>
          <w:szCs w:val="20"/>
          <w:lang w:val="sr-Cyrl-CS" w:eastAsia="sr-Cyrl-CS"/>
        </w:rPr>
        <w:t xml:space="preserve"> у туђа стална средства у износу од 64.624,33 КМ. Њ</w:t>
      </w:r>
      <w:r w:rsidRPr="00CA28AF">
        <w:rPr>
          <w:rFonts w:asciiTheme="minorHAnsi" w:hAnsiTheme="minorHAnsi"/>
          <w:color w:val="auto"/>
          <w:sz w:val="20"/>
          <w:szCs w:val="20"/>
          <w:lang w:val="sr-Cyrl-CS" w:eastAsia="sr-Cyrl-CS"/>
        </w:rPr>
        <w:t>ихова нето вриједност на крају 2023. године износи  177.822,52 КМ</w:t>
      </w:r>
    </w:p>
    <w:p w14:paraId="639C1B44" w14:textId="77777777"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остала нематеријална улагања</w:t>
      </w:r>
      <w:r w:rsidRPr="00CA28AF">
        <w:rPr>
          <w:rFonts w:asciiTheme="minorHAnsi" w:hAnsiTheme="minorHAnsi"/>
          <w:color w:val="auto"/>
          <w:sz w:val="20"/>
          <w:szCs w:val="20"/>
          <w:lang w:val="sr-Cyrl-CS" w:eastAsia="sr-Cyrl-CS"/>
        </w:rPr>
        <w:t xml:space="preserve"> у нето износу од 49.318,25 КМ односе се на улагања у лиценце за коришћење стандардних софтвера, апликативне лиценце за софтвер гаранција, кредитни портфељ, програма </w:t>
      </w:r>
      <w:r w:rsidRPr="00CA28AF">
        <w:rPr>
          <w:rFonts w:asciiTheme="minorHAnsi" w:hAnsiTheme="minorHAnsi"/>
          <w:color w:val="auto"/>
          <w:sz w:val="20"/>
          <w:szCs w:val="20"/>
          <w:lang w:eastAsia="sr-Cyrl-CS"/>
        </w:rPr>
        <w:t xml:space="preserve">COVID </w:t>
      </w:r>
      <w:r w:rsidRPr="00CA28AF">
        <w:rPr>
          <w:rFonts w:asciiTheme="minorHAnsi" w:hAnsiTheme="minorHAnsi"/>
          <w:color w:val="auto"/>
          <w:sz w:val="20"/>
          <w:szCs w:val="20"/>
          <w:lang w:val="sr-Cyrl-CS" w:eastAsia="sr-Cyrl-CS"/>
        </w:rPr>
        <w:t>19, књиге стандарда Фонда</w:t>
      </w:r>
      <w:r w:rsidR="003547B5">
        <w:rPr>
          <w:rFonts w:asciiTheme="minorHAnsi" w:hAnsiTheme="minorHAnsi"/>
          <w:color w:val="auto"/>
          <w:sz w:val="20"/>
          <w:szCs w:val="20"/>
          <w:lang w:val="sr-Cyrl-CS" w:eastAsia="sr-Cyrl-CS"/>
        </w:rPr>
        <w:t xml:space="preserve"> итд.</w:t>
      </w:r>
    </w:p>
    <w:p w14:paraId="76CEFB2F" w14:textId="77777777" w:rsidR="003547B5" w:rsidRDefault="001538EF" w:rsidP="002575E6">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стална средства нам</w:t>
      </w:r>
      <w:r w:rsidR="007C74A2" w:rsidRPr="008F7B16">
        <w:rPr>
          <w:rFonts w:asciiTheme="minorHAnsi" w:hAnsiTheme="minorHAnsi"/>
          <w:b/>
          <w:color w:val="auto"/>
          <w:sz w:val="20"/>
          <w:szCs w:val="20"/>
          <w:lang w:val="sr-Cyrl-CS" w:eastAsia="sr-Cyrl-CS"/>
        </w:rPr>
        <w:t>и</w:t>
      </w:r>
      <w:r w:rsidRPr="008F7B16">
        <w:rPr>
          <w:rFonts w:asciiTheme="minorHAnsi" w:hAnsiTheme="minorHAnsi"/>
          <w:b/>
          <w:color w:val="auto"/>
          <w:sz w:val="20"/>
          <w:szCs w:val="20"/>
          <w:lang w:val="sr-Cyrl-CS" w:eastAsia="sr-Cyrl-CS"/>
        </w:rPr>
        <w:t>јењена продаји</w:t>
      </w:r>
      <w:r w:rsidRPr="007C74A2">
        <w:rPr>
          <w:rFonts w:asciiTheme="minorHAnsi" w:hAnsiTheme="minorHAnsi"/>
          <w:color w:val="auto"/>
          <w:sz w:val="20"/>
          <w:szCs w:val="20"/>
          <w:lang w:val="sr-Cyrl-CS" w:eastAsia="sr-Cyrl-CS"/>
        </w:rPr>
        <w:t xml:space="preserve"> </w:t>
      </w:r>
      <w:r w:rsidR="008F7B16">
        <w:rPr>
          <w:rFonts w:asciiTheme="minorHAnsi" w:hAnsiTheme="minorHAnsi"/>
          <w:color w:val="auto"/>
          <w:sz w:val="20"/>
          <w:szCs w:val="20"/>
          <w:lang w:val="sr-Cyrl-CS" w:eastAsia="sr-Cyrl-CS"/>
        </w:rPr>
        <w:t>износе</w:t>
      </w:r>
      <w:r w:rsidR="003547B5" w:rsidRPr="007C74A2">
        <w:rPr>
          <w:rFonts w:asciiTheme="minorHAnsi" w:hAnsiTheme="minorHAnsi"/>
          <w:color w:val="auto"/>
          <w:sz w:val="20"/>
          <w:szCs w:val="20"/>
          <w:lang w:val="sr-Cyrl-CS" w:eastAsia="sr-Cyrl-CS"/>
        </w:rPr>
        <w:t xml:space="preserve"> 98.629,00 КМ</w:t>
      </w:r>
      <w:r w:rsidR="008F7B16">
        <w:rPr>
          <w:rFonts w:asciiTheme="minorHAnsi" w:hAnsiTheme="minorHAnsi"/>
          <w:color w:val="auto"/>
          <w:sz w:val="20"/>
          <w:szCs w:val="20"/>
          <w:lang w:val="sr-Cyrl-CS" w:eastAsia="sr-Cyrl-CS"/>
        </w:rPr>
        <w:t xml:space="preserve">. </w:t>
      </w:r>
      <w:r w:rsidR="003547B5">
        <w:rPr>
          <w:rFonts w:asciiTheme="minorHAnsi" w:hAnsiTheme="minorHAnsi"/>
          <w:color w:val="auto"/>
          <w:sz w:val="20"/>
          <w:szCs w:val="20"/>
          <w:lang w:val="sr-Cyrl-CS" w:eastAsia="sr-Cyrl-CS"/>
        </w:rPr>
        <w:t xml:space="preserve">Ради се о имовини коју су клијенти </w:t>
      </w:r>
      <w:r w:rsidRPr="007C74A2">
        <w:rPr>
          <w:rFonts w:asciiTheme="minorHAnsi" w:hAnsiTheme="minorHAnsi"/>
          <w:color w:val="auto"/>
          <w:sz w:val="20"/>
          <w:szCs w:val="20"/>
          <w:lang w:val="sr-Cyrl-CS" w:eastAsia="sr-Cyrl-CS"/>
        </w:rPr>
        <w:t xml:space="preserve">Планинско добро </w:t>
      </w:r>
      <w:r w:rsidR="003547B5">
        <w:rPr>
          <w:rFonts w:asciiTheme="minorHAnsi" w:hAnsiTheme="minorHAnsi"/>
          <w:color w:val="auto"/>
          <w:sz w:val="20"/>
          <w:szCs w:val="20"/>
          <w:lang w:val="sr-Cyrl-CS" w:eastAsia="sr-Cyrl-CS"/>
        </w:rPr>
        <w:t>д.о.о. Рогатица и ПР Рој Костајница (</w:t>
      </w:r>
      <w:r w:rsidR="008F7B16">
        <w:rPr>
          <w:rFonts w:asciiTheme="minorHAnsi" w:hAnsiTheme="minorHAnsi"/>
          <w:color w:val="auto"/>
          <w:sz w:val="20"/>
          <w:szCs w:val="20"/>
          <w:lang w:val="sr-Cyrl-CS" w:eastAsia="sr-Cyrl-CS"/>
        </w:rPr>
        <w:t>шума, земљиште</w:t>
      </w:r>
      <w:r w:rsidRPr="007C74A2">
        <w:rPr>
          <w:rFonts w:asciiTheme="minorHAnsi" w:hAnsiTheme="minorHAnsi"/>
          <w:color w:val="auto"/>
          <w:sz w:val="20"/>
          <w:szCs w:val="20"/>
          <w:lang w:val="sr-Cyrl-CS" w:eastAsia="sr-Cyrl-CS"/>
        </w:rPr>
        <w:t>, помоћни објект</w:t>
      </w:r>
      <w:r w:rsidR="003547B5">
        <w:rPr>
          <w:rFonts w:asciiTheme="minorHAnsi" w:hAnsiTheme="minorHAnsi"/>
          <w:color w:val="auto"/>
          <w:sz w:val="20"/>
          <w:szCs w:val="20"/>
          <w:lang w:val="sr-Cyrl-CS" w:eastAsia="sr-Cyrl-CS"/>
        </w:rPr>
        <w:t>и) понудили као средство обезбјеђења по пласманима обезбјеђеним гаранцијом Гарантног фонда. Након проглашења кредита доспјелим и плаћања гаранције</w:t>
      </w:r>
      <w:r w:rsidR="008F7B16">
        <w:rPr>
          <w:rFonts w:asciiTheme="minorHAnsi" w:hAnsiTheme="minorHAnsi"/>
          <w:color w:val="auto"/>
          <w:sz w:val="20"/>
          <w:szCs w:val="20"/>
          <w:lang w:val="sr-Cyrl-CS" w:eastAsia="sr-Cyrl-CS"/>
        </w:rPr>
        <w:t>, покренут је извршни поступак, а оконча</w:t>
      </w:r>
      <w:r w:rsidR="00D63B52">
        <w:rPr>
          <w:rFonts w:asciiTheme="minorHAnsi" w:hAnsiTheme="minorHAnsi"/>
          <w:color w:val="auto"/>
          <w:sz w:val="20"/>
          <w:szCs w:val="20"/>
          <w:lang w:val="sr-Cyrl-CS" w:eastAsia="sr-Cyrl-CS"/>
        </w:rPr>
        <w:t>њем</w:t>
      </w:r>
      <w:r w:rsidR="008F7B16">
        <w:rPr>
          <w:rFonts w:asciiTheme="minorHAnsi" w:hAnsiTheme="minorHAnsi"/>
          <w:color w:val="auto"/>
          <w:sz w:val="20"/>
          <w:szCs w:val="20"/>
          <w:lang w:val="sr-Cyrl-CS" w:eastAsia="sr-Cyrl-CS"/>
        </w:rPr>
        <w:t xml:space="preserve"> истог је донесена судска пресуда којом је наведена имовина постала власништво Гарантног фонда.</w:t>
      </w:r>
    </w:p>
    <w:p w14:paraId="7D872119" w14:textId="77777777" w:rsidR="00A64AF6" w:rsidRDefault="00A64AF6" w:rsidP="00A64AF6">
      <w:pPr>
        <w:rPr>
          <w:rFonts w:asciiTheme="minorHAnsi" w:hAnsiTheme="minorHAnsi"/>
          <w:color w:val="auto"/>
          <w:sz w:val="20"/>
          <w:szCs w:val="20"/>
          <w:lang w:val="sr-Cyrl-CS" w:eastAsia="sr-Cyrl-CS"/>
        </w:rPr>
      </w:pPr>
    </w:p>
    <w:p w14:paraId="440DB2FE" w14:textId="77777777" w:rsidR="003547B5" w:rsidRPr="00CB12D5" w:rsidRDefault="00A64AF6" w:rsidP="00CB12D5">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Стање ванбилансне евиденције у којој се воде издане гаранције је </w:t>
      </w:r>
      <w:r w:rsidRPr="00A64AF6">
        <w:rPr>
          <w:rFonts w:asciiTheme="minorHAnsi" w:hAnsiTheme="minorHAnsi"/>
          <w:color w:val="auto"/>
          <w:sz w:val="20"/>
          <w:szCs w:val="20"/>
          <w:lang w:val="sr-Cyrl-CS" w:eastAsia="sr-Cyrl-CS"/>
        </w:rPr>
        <w:t>53.569.487,72</w:t>
      </w:r>
      <w:r>
        <w:rPr>
          <w:rFonts w:asciiTheme="minorHAnsi" w:hAnsiTheme="minorHAnsi"/>
          <w:color w:val="auto"/>
          <w:sz w:val="20"/>
          <w:szCs w:val="20"/>
          <w:lang w:val="sr-Cyrl-CS" w:eastAsia="sr-Cyrl-CS"/>
        </w:rPr>
        <w:t xml:space="preserve"> КМ, те укупна актива Гарантног фонда на дан 31.12.2023. године износи </w:t>
      </w:r>
      <w:r w:rsidRPr="00A64AF6">
        <w:rPr>
          <w:rFonts w:asciiTheme="minorHAnsi" w:hAnsiTheme="minorHAnsi"/>
          <w:color w:val="auto"/>
          <w:sz w:val="20"/>
          <w:szCs w:val="20"/>
          <w:lang w:val="sr-Cyrl-CS" w:eastAsia="sr-Cyrl-CS"/>
        </w:rPr>
        <w:t>74.449.118,58</w:t>
      </w:r>
      <w:r>
        <w:rPr>
          <w:rFonts w:asciiTheme="minorHAnsi" w:hAnsiTheme="minorHAnsi"/>
          <w:color w:val="auto"/>
          <w:sz w:val="20"/>
          <w:szCs w:val="20"/>
          <w:lang w:val="sr-Cyrl-CS" w:eastAsia="sr-Cyrl-CS"/>
        </w:rPr>
        <w:t xml:space="preserve"> КМ.</w:t>
      </w:r>
    </w:p>
    <w:p w14:paraId="5C989E4D" w14:textId="77777777" w:rsidR="001538EF" w:rsidRPr="00E00B0B" w:rsidRDefault="001538EF" w:rsidP="00E00B0B">
      <w:pPr>
        <w:rPr>
          <w:rFonts w:asciiTheme="minorHAnsi" w:hAnsiTheme="minorHAnsi"/>
          <w:color w:val="auto"/>
          <w:sz w:val="20"/>
          <w:szCs w:val="20"/>
          <w:lang w:val="sr-Cyrl-CS" w:eastAsia="sr-Cyrl-CS"/>
        </w:rPr>
      </w:pPr>
      <w:r w:rsidRPr="00E00B0B">
        <w:rPr>
          <w:rFonts w:asciiTheme="minorHAnsi" w:hAnsiTheme="minorHAnsi"/>
          <w:color w:val="auto"/>
          <w:sz w:val="20"/>
          <w:szCs w:val="20"/>
          <w:lang w:val="sr-Cyrl-CS" w:eastAsia="sr-Cyrl-CS"/>
        </w:rPr>
        <w:t xml:space="preserve">Стање пословне пасиве износи </w:t>
      </w:r>
      <w:r w:rsidR="00E00B0B" w:rsidRPr="00E00B0B">
        <w:rPr>
          <w:rFonts w:asciiTheme="minorHAnsi" w:hAnsiTheme="minorHAnsi"/>
          <w:color w:val="auto"/>
          <w:sz w:val="20"/>
          <w:szCs w:val="20"/>
          <w:lang w:val="sr-Cyrl-CS" w:eastAsia="sr-Cyrl-CS"/>
        </w:rPr>
        <w:t xml:space="preserve">20.879.630,61 </w:t>
      </w:r>
      <w:r w:rsidR="00E00B0B">
        <w:rPr>
          <w:rFonts w:asciiTheme="minorHAnsi" w:hAnsiTheme="minorHAnsi"/>
          <w:color w:val="auto"/>
          <w:sz w:val="20"/>
          <w:szCs w:val="20"/>
          <w:lang w:val="sr-Cyrl-CS" w:eastAsia="sr-Cyrl-CS"/>
        </w:rPr>
        <w:t>КМ  и чине</w:t>
      </w:r>
      <w:r w:rsidRPr="00E00B0B">
        <w:rPr>
          <w:rFonts w:asciiTheme="minorHAnsi" w:hAnsiTheme="minorHAnsi"/>
          <w:color w:val="auto"/>
          <w:sz w:val="20"/>
          <w:szCs w:val="20"/>
          <w:lang w:val="sr-Cyrl-CS" w:eastAsia="sr-Cyrl-CS"/>
        </w:rPr>
        <w:t xml:space="preserve"> је :</w:t>
      </w:r>
    </w:p>
    <w:p w14:paraId="65FDDC9E" w14:textId="77777777" w:rsidR="001538EF" w:rsidRPr="00330E93" w:rsidRDefault="001538EF" w:rsidP="001538EF">
      <w:pPr>
        <w:ind w:left="708"/>
        <w:jc w:val="left"/>
        <w:rPr>
          <w:rFonts w:asciiTheme="minorHAnsi" w:hAnsiTheme="minorHAnsi"/>
          <w:color w:val="FF0000"/>
          <w:sz w:val="20"/>
          <w:szCs w:val="20"/>
          <w:lang w:val="sr-Cyrl-CS" w:eastAsia="sr-Cyrl-CS"/>
        </w:rPr>
      </w:pPr>
    </w:p>
    <w:p w14:paraId="570581C6" w14:textId="77777777" w:rsidR="001538EF" w:rsidRPr="00E00B0B" w:rsidRDefault="00E00B0B" w:rsidP="00A64AF6">
      <w:pPr>
        <w:pStyle w:val="ListParagraph"/>
        <w:numPr>
          <w:ilvl w:val="0"/>
          <w:numId w:val="22"/>
        </w:numPr>
        <w:tabs>
          <w:tab w:val="left" w:pos="709"/>
        </w:tabs>
        <w:ind w:left="1134" w:hanging="425"/>
        <w:jc w:val="left"/>
        <w:rPr>
          <w:rFonts w:asciiTheme="minorHAnsi" w:hAnsiTheme="minorHAnsi"/>
          <w:color w:val="auto"/>
          <w:sz w:val="20"/>
          <w:szCs w:val="20"/>
          <w:lang w:val="sr-Cyrl-CS" w:eastAsia="sr-Cyrl-CS"/>
        </w:rPr>
      </w:pPr>
      <w:r w:rsidRPr="00E00B0B">
        <w:rPr>
          <w:rFonts w:asciiTheme="minorHAnsi" w:hAnsiTheme="minorHAnsi"/>
          <w:b/>
          <w:color w:val="auto"/>
          <w:sz w:val="20"/>
          <w:szCs w:val="20"/>
          <w:lang w:val="sr-Cyrl-CS" w:eastAsia="sr-Cyrl-CS"/>
        </w:rPr>
        <w:t>обавезе</w:t>
      </w:r>
      <w:r w:rsidRPr="00E00B0B">
        <w:rPr>
          <w:rFonts w:asciiTheme="minorHAnsi" w:hAnsiTheme="minorHAnsi"/>
          <w:color w:val="auto"/>
          <w:sz w:val="20"/>
          <w:szCs w:val="20"/>
          <w:lang w:val="sr-Cyrl-CS" w:eastAsia="sr-Cyrl-CS"/>
        </w:rPr>
        <w:t xml:space="preserve"> у износу од</w:t>
      </w:r>
      <w:r w:rsidR="001538EF" w:rsidRPr="00E00B0B">
        <w:rPr>
          <w:rFonts w:asciiTheme="minorHAnsi" w:hAnsiTheme="minorHAnsi"/>
          <w:color w:val="auto"/>
          <w:sz w:val="20"/>
          <w:szCs w:val="20"/>
          <w:lang w:val="sr-Cyrl-CS" w:eastAsia="sr-Cyrl-CS"/>
        </w:rPr>
        <w:t xml:space="preserve"> </w:t>
      </w:r>
      <w:r w:rsidRPr="00E00B0B">
        <w:rPr>
          <w:rFonts w:asciiTheme="minorHAnsi" w:hAnsiTheme="minorHAnsi"/>
          <w:color w:val="auto"/>
          <w:sz w:val="20"/>
          <w:szCs w:val="20"/>
          <w:lang w:val="sr-Cyrl-CS" w:eastAsia="sr-Cyrl-CS"/>
        </w:rPr>
        <w:t>3.050.241,61</w:t>
      </w:r>
      <w:r w:rsidR="001538EF" w:rsidRPr="00E00B0B">
        <w:rPr>
          <w:rFonts w:asciiTheme="minorHAnsi" w:hAnsiTheme="minorHAnsi"/>
          <w:color w:val="auto"/>
          <w:sz w:val="20"/>
          <w:szCs w:val="20"/>
          <w:lang w:val="sr-Cyrl-CS" w:eastAsia="sr-Cyrl-CS"/>
        </w:rPr>
        <w:t>КМ</w:t>
      </w:r>
      <w:r w:rsidRPr="00E00B0B">
        <w:rPr>
          <w:rFonts w:asciiTheme="minorHAnsi" w:hAnsiTheme="minorHAnsi"/>
          <w:color w:val="auto"/>
          <w:sz w:val="20"/>
          <w:szCs w:val="20"/>
          <w:lang w:val="sr-Cyrl-CS" w:eastAsia="sr-Cyrl-CS"/>
        </w:rPr>
        <w:t>, а односе се на</w:t>
      </w:r>
      <w:r w:rsidR="001538EF" w:rsidRPr="00E00B0B">
        <w:rPr>
          <w:rFonts w:asciiTheme="minorHAnsi" w:hAnsiTheme="minorHAnsi"/>
          <w:color w:val="auto"/>
          <w:sz w:val="20"/>
          <w:szCs w:val="20"/>
          <w:lang w:val="sr-Cyrl-CS" w:eastAsia="sr-Cyrl-CS"/>
        </w:rPr>
        <w:t>:</w:t>
      </w:r>
    </w:p>
    <w:p w14:paraId="095063BF" w14:textId="77777777" w:rsidR="001538EF" w:rsidRDefault="00702D51" w:rsidP="00A64AF6">
      <w:pPr>
        <w:pStyle w:val="ListParagraph"/>
        <w:numPr>
          <w:ilvl w:val="0"/>
          <w:numId w:val="24"/>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о</w:t>
      </w:r>
      <w:r w:rsidRPr="00702D51">
        <w:rPr>
          <w:rFonts w:asciiTheme="minorHAnsi" w:hAnsiTheme="minorHAnsi"/>
          <w:color w:val="auto"/>
          <w:sz w:val="20"/>
          <w:szCs w:val="20"/>
          <w:lang w:val="sr-Cyrl-CS" w:eastAsia="sr-Cyrl-CS"/>
        </w:rPr>
        <w:t xml:space="preserve">бавезе за камату по основу осталих фин. обавеза у износу од 288.993,46 КМ, </w:t>
      </w:r>
      <w:r>
        <w:rPr>
          <w:rFonts w:asciiTheme="minorHAnsi" w:hAnsiTheme="minorHAnsi"/>
          <w:color w:val="auto"/>
          <w:sz w:val="20"/>
          <w:szCs w:val="20"/>
          <w:lang w:val="sr-Cyrl-CS" w:eastAsia="sr-Cyrl-CS"/>
        </w:rPr>
        <w:t xml:space="preserve">а везане су за судски поступак у вези са протестованом гаранцијом, гдје је судском пресудом наложено плаћање наведеног износа од стране Гарантног фонда </w:t>
      </w:r>
    </w:p>
    <w:p w14:paraId="6C0F4F8E" w14:textId="77777777" w:rsidR="00A64AF6" w:rsidRDefault="00A64AF6" w:rsidP="00A64AF6">
      <w:pPr>
        <w:pStyle w:val="ListParagraph"/>
        <w:numPr>
          <w:ilvl w:val="0"/>
          <w:numId w:val="24"/>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обавезе по основу активиране гаранције у износу од </w:t>
      </w:r>
      <w:r w:rsidRPr="00A64AF6">
        <w:rPr>
          <w:rFonts w:asciiTheme="minorHAnsi" w:hAnsiTheme="minorHAnsi"/>
          <w:color w:val="auto"/>
          <w:sz w:val="20"/>
          <w:szCs w:val="20"/>
          <w:lang w:val="sr-Cyrl-CS" w:eastAsia="sr-Cyrl-CS"/>
        </w:rPr>
        <w:t>1.485.962,50</w:t>
      </w:r>
      <w:r>
        <w:rPr>
          <w:rFonts w:asciiTheme="minorHAnsi" w:hAnsiTheme="minorHAnsi"/>
          <w:color w:val="auto"/>
          <w:sz w:val="20"/>
          <w:szCs w:val="20"/>
          <w:lang w:val="sr-Cyrl-CS" w:eastAsia="sr-Cyrl-CS"/>
        </w:rPr>
        <w:t xml:space="preserve"> КМ, која је настала окончањем судског поступка који се водио у вези са протестованом гаранцијом</w:t>
      </w:r>
    </w:p>
    <w:p w14:paraId="226BEB21" w14:textId="77777777" w:rsidR="00A64AF6" w:rsidRPr="00702D51" w:rsidRDefault="00A64AF6" w:rsidP="00A64AF6">
      <w:pPr>
        <w:pStyle w:val="ListParagraph"/>
        <w:ind w:left="1134"/>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Обавезе настале по основу протестоване гаранције и камате у вези са истом чине више од половине обавеза Гарантног фонда у 2023. години</w:t>
      </w:r>
    </w:p>
    <w:p w14:paraId="2128243C" w14:textId="77777777" w:rsidR="00E00B0B" w:rsidRPr="00A64AF6" w:rsidRDefault="00E00B0B" w:rsidP="00A64AF6">
      <w:pPr>
        <w:pStyle w:val="ListParagraph"/>
        <w:numPr>
          <w:ilvl w:val="0"/>
          <w:numId w:val="24"/>
        </w:numPr>
        <w:ind w:left="1134" w:hanging="425"/>
        <w:rPr>
          <w:rFonts w:asciiTheme="minorHAnsi" w:hAnsiTheme="minorHAnsi"/>
          <w:color w:val="auto"/>
          <w:sz w:val="20"/>
          <w:szCs w:val="20"/>
          <w:lang w:val="sr-Cyrl-CS" w:eastAsia="sr-Cyrl-CS"/>
        </w:rPr>
      </w:pPr>
      <w:r w:rsidRPr="00702D51">
        <w:rPr>
          <w:rFonts w:asciiTheme="minorHAnsi" w:hAnsiTheme="minorHAnsi"/>
          <w:color w:val="auto"/>
          <w:sz w:val="20"/>
          <w:szCs w:val="20"/>
          <w:lang w:val="sr-Cyrl-CS" w:eastAsia="sr-Cyrl-CS"/>
        </w:rPr>
        <w:t xml:space="preserve">обавезе за зараде и накнаде зарада у бруто износу од </w:t>
      </w:r>
      <w:r w:rsidR="00702D51">
        <w:rPr>
          <w:rFonts w:asciiTheme="minorHAnsi" w:hAnsiTheme="minorHAnsi"/>
          <w:color w:val="auto"/>
          <w:sz w:val="20"/>
          <w:szCs w:val="20"/>
          <w:lang w:val="sr-Cyrl-CS" w:eastAsia="sr-Cyrl-CS"/>
        </w:rPr>
        <w:t>126.527,59</w:t>
      </w:r>
      <w:r w:rsidR="00702D51" w:rsidRPr="00702D51">
        <w:rPr>
          <w:rFonts w:asciiTheme="minorHAnsi" w:hAnsiTheme="minorHAnsi"/>
          <w:color w:val="auto"/>
          <w:sz w:val="20"/>
          <w:szCs w:val="20"/>
          <w:lang w:val="sr-Cyrl-CS" w:eastAsia="sr-Cyrl-CS"/>
        </w:rPr>
        <w:t xml:space="preserve"> </w:t>
      </w:r>
      <w:r w:rsidRPr="00702D51">
        <w:rPr>
          <w:rFonts w:asciiTheme="minorHAnsi" w:hAnsiTheme="minorHAnsi"/>
          <w:color w:val="auto"/>
          <w:sz w:val="20"/>
          <w:szCs w:val="20"/>
          <w:lang w:val="sr-Cyrl-CS" w:eastAsia="sr-Cyrl-CS"/>
        </w:rPr>
        <w:t xml:space="preserve">КМ, а односе се на </w:t>
      </w:r>
      <w:r w:rsidRPr="00A64AF6">
        <w:rPr>
          <w:rFonts w:asciiTheme="minorHAnsi" w:hAnsiTheme="minorHAnsi"/>
          <w:color w:val="auto"/>
          <w:sz w:val="20"/>
          <w:szCs w:val="20"/>
          <w:lang w:val="sr-Cyrl-CS" w:eastAsia="sr-Cyrl-CS"/>
        </w:rPr>
        <w:t>обрачунате</w:t>
      </w:r>
      <w:r w:rsidR="00702D51" w:rsidRPr="00A64AF6">
        <w:rPr>
          <w:rFonts w:asciiTheme="minorHAnsi" w:hAnsiTheme="minorHAnsi"/>
          <w:color w:val="auto"/>
          <w:sz w:val="20"/>
          <w:szCs w:val="20"/>
          <w:lang w:val="sr-Cyrl-CS" w:eastAsia="sr-Cyrl-CS"/>
        </w:rPr>
        <w:t>,</w:t>
      </w:r>
      <w:r w:rsidRPr="00A64AF6">
        <w:rPr>
          <w:rFonts w:asciiTheme="minorHAnsi" w:hAnsiTheme="minorHAnsi"/>
          <w:color w:val="auto"/>
          <w:sz w:val="20"/>
          <w:szCs w:val="20"/>
          <w:lang w:val="sr-Cyrl-CS" w:eastAsia="sr-Cyrl-CS"/>
        </w:rPr>
        <w:t xml:space="preserve"> а неи</w:t>
      </w:r>
      <w:r w:rsidR="00702D51" w:rsidRPr="00A64AF6">
        <w:rPr>
          <w:rFonts w:asciiTheme="minorHAnsi" w:hAnsiTheme="minorHAnsi"/>
          <w:color w:val="auto"/>
          <w:sz w:val="20"/>
          <w:szCs w:val="20"/>
          <w:lang w:val="sr-Cyrl-CS" w:eastAsia="sr-Cyrl-CS"/>
        </w:rPr>
        <w:t>сплаћене плате за децембар 2023. године. Ова обавеза настаје јер се плате за децембар</w:t>
      </w:r>
      <w:r w:rsidRPr="00A64AF6">
        <w:rPr>
          <w:rFonts w:asciiTheme="minorHAnsi" w:hAnsiTheme="minorHAnsi"/>
          <w:color w:val="auto"/>
          <w:sz w:val="20"/>
          <w:szCs w:val="20"/>
          <w:lang w:val="sr-Cyrl-CS" w:eastAsia="sr-Cyrl-CS"/>
        </w:rPr>
        <w:t xml:space="preserve"> исплаћуј</w:t>
      </w:r>
      <w:r w:rsidR="00702D51" w:rsidRPr="00A64AF6">
        <w:rPr>
          <w:rFonts w:asciiTheme="minorHAnsi" w:hAnsiTheme="minorHAnsi"/>
          <w:color w:val="auto"/>
          <w:sz w:val="20"/>
          <w:szCs w:val="20"/>
          <w:lang w:val="sr-Cyrl-CS" w:eastAsia="sr-Cyrl-CS"/>
        </w:rPr>
        <w:t>у по истеку обрачунског мјесеца, односно у јануару 2024. године</w:t>
      </w:r>
    </w:p>
    <w:p w14:paraId="1C02E412"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val="sr-Cyrl-CS" w:eastAsia="sr-Cyrl-CS"/>
        </w:rPr>
        <w:t>остале обавезе у</w:t>
      </w:r>
      <w:r w:rsidR="001F539D" w:rsidRPr="00A64AF6">
        <w:rPr>
          <w:rFonts w:asciiTheme="minorHAnsi" w:hAnsiTheme="minorHAnsi"/>
          <w:color w:val="auto"/>
          <w:sz w:val="20"/>
          <w:szCs w:val="20"/>
          <w:lang w:val="sr-Cyrl-CS" w:eastAsia="sr-Cyrl-CS"/>
        </w:rPr>
        <w:t xml:space="preserve"> износу од 59.072,</w:t>
      </w:r>
      <w:r w:rsidR="00F13F96" w:rsidRPr="00A64AF6">
        <w:rPr>
          <w:rFonts w:asciiTheme="minorHAnsi" w:hAnsiTheme="minorHAnsi"/>
          <w:color w:val="auto"/>
          <w:sz w:val="20"/>
          <w:szCs w:val="20"/>
          <w:lang w:val="sr-Cyrl-CS" w:eastAsia="sr-Cyrl-CS"/>
        </w:rPr>
        <w:t xml:space="preserve">47 КМ, а које се </w:t>
      </w:r>
      <w:r w:rsidR="001F539D" w:rsidRPr="00A64AF6">
        <w:rPr>
          <w:rFonts w:asciiTheme="minorHAnsi" w:hAnsiTheme="minorHAnsi"/>
          <w:color w:val="auto"/>
          <w:sz w:val="20"/>
          <w:szCs w:val="20"/>
          <w:lang w:val="sr-Cyrl-CS" w:eastAsia="sr-Cyrl-CS"/>
        </w:rPr>
        <w:t xml:space="preserve">највећим дијелом односе на обавезе према добављачима у износу од </w:t>
      </w:r>
      <w:r w:rsidR="00F13F96" w:rsidRPr="00A64AF6">
        <w:rPr>
          <w:rFonts w:asciiTheme="minorHAnsi" w:hAnsiTheme="minorHAnsi"/>
          <w:color w:val="auto"/>
          <w:sz w:val="20"/>
          <w:szCs w:val="20"/>
          <w:lang w:val="sr-Cyrl-CS" w:eastAsia="sr-Cyrl-CS"/>
        </w:rPr>
        <w:t>о</w:t>
      </w:r>
      <w:r w:rsidR="001F539D" w:rsidRPr="00A64AF6">
        <w:rPr>
          <w:rFonts w:asciiTheme="minorHAnsi" w:hAnsiTheme="minorHAnsi"/>
          <w:color w:val="auto"/>
          <w:sz w:val="20"/>
          <w:szCs w:val="20"/>
          <w:lang w:val="sr-Cyrl-CS" w:eastAsia="sr-Cyrl-CS"/>
        </w:rPr>
        <w:t>д</w:t>
      </w:r>
      <w:r w:rsidR="00F13F96" w:rsidRPr="00A64AF6">
        <w:rPr>
          <w:rFonts w:asciiTheme="minorHAnsi" w:hAnsiTheme="minorHAnsi"/>
          <w:color w:val="auto"/>
          <w:sz w:val="20"/>
          <w:szCs w:val="20"/>
          <w:lang w:val="sr-Cyrl-CS" w:eastAsia="sr-Cyrl-CS"/>
        </w:rPr>
        <w:t xml:space="preserve"> 35.059,98 КМ и остале обавезе по исплаћеној гаранцији у износу од 20.250,00 КМ, а мањим дијелом на обавезе по основу примљених аванса и остале обавезе из пословних односа (накнаде за воду и шуме, те противпожарну накнаду)  </w:t>
      </w:r>
    </w:p>
    <w:p w14:paraId="35F44AF3"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val="sr-Cyrl-CS" w:eastAsia="sr-Cyrl-CS"/>
        </w:rPr>
        <w:t xml:space="preserve">резервисања за покриће </w:t>
      </w:r>
      <w:r w:rsidR="007C2E76" w:rsidRPr="00A64AF6">
        <w:rPr>
          <w:rFonts w:asciiTheme="minorHAnsi" w:hAnsiTheme="minorHAnsi"/>
          <w:color w:val="auto"/>
          <w:sz w:val="20"/>
          <w:szCs w:val="20"/>
          <w:lang w:val="sr-Cyrl-CS" w:eastAsia="sr-Cyrl-CS"/>
        </w:rPr>
        <w:t>губитака по ванбилансној активи, односно изданим гаранцијама</w:t>
      </w:r>
      <w:r w:rsidR="00A64AF6">
        <w:rPr>
          <w:rFonts w:asciiTheme="minorHAnsi" w:hAnsiTheme="minorHAnsi"/>
          <w:color w:val="auto"/>
          <w:sz w:val="20"/>
          <w:szCs w:val="20"/>
          <w:lang w:val="sr-Cyrl-CS" w:eastAsia="sr-Cyrl-CS"/>
        </w:rPr>
        <w:t>,</w:t>
      </w:r>
      <w:r w:rsidRPr="00A64AF6">
        <w:rPr>
          <w:rFonts w:asciiTheme="minorHAnsi" w:hAnsiTheme="minorHAnsi"/>
          <w:color w:val="auto"/>
          <w:sz w:val="20"/>
          <w:szCs w:val="20"/>
          <w:lang w:val="sr-Cyrl-CS" w:eastAsia="sr-Cyrl-CS"/>
        </w:rPr>
        <w:t xml:space="preserve"> у износу од </w:t>
      </w:r>
      <w:r w:rsidR="00702D51" w:rsidRPr="00A64AF6">
        <w:rPr>
          <w:rFonts w:asciiTheme="minorHAnsi" w:hAnsiTheme="minorHAnsi"/>
          <w:color w:val="auto"/>
          <w:sz w:val="20"/>
          <w:szCs w:val="20"/>
          <w:lang w:val="sr-Cyrl-CS" w:eastAsia="sr-Cyrl-CS"/>
        </w:rPr>
        <w:t xml:space="preserve">891.448,00 </w:t>
      </w:r>
      <w:r w:rsidRPr="00A64AF6">
        <w:rPr>
          <w:rFonts w:asciiTheme="minorHAnsi" w:hAnsiTheme="minorHAnsi"/>
          <w:color w:val="auto"/>
          <w:sz w:val="20"/>
          <w:szCs w:val="20"/>
          <w:lang w:val="sr-Cyrl-CS" w:eastAsia="sr-Cyrl-CS"/>
        </w:rPr>
        <w:t>КМ</w:t>
      </w:r>
    </w:p>
    <w:p w14:paraId="77EC1FE5"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val="sr-Cyrl-CS" w:eastAsia="sr-Cyrl-CS"/>
        </w:rPr>
        <w:t xml:space="preserve">пасивна </w:t>
      </w:r>
      <w:r w:rsidRPr="007C2E76">
        <w:rPr>
          <w:rFonts w:asciiTheme="minorHAnsi" w:hAnsiTheme="minorHAnsi"/>
          <w:color w:val="auto"/>
          <w:sz w:val="20"/>
          <w:szCs w:val="20"/>
          <w:lang w:val="sr-Cyrl-CS" w:eastAsia="sr-Cyrl-CS"/>
        </w:rPr>
        <w:t xml:space="preserve">временска разграничења (ПВР) у износу од </w:t>
      </w:r>
      <w:r w:rsidR="007C2E76" w:rsidRPr="007C2E76">
        <w:rPr>
          <w:rFonts w:asciiTheme="minorHAnsi" w:hAnsiTheme="minorHAnsi"/>
          <w:color w:val="auto"/>
          <w:sz w:val="20"/>
          <w:szCs w:val="20"/>
          <w:lang w:val="sr-Cyrl-CS" w:eastAsia="sr-Cyrl-CS"/>
        </w:rPr>
        <w:t>187.478,57</w:t>
      </w:r>
      <w:r w:rsidRPr="007C2E76">
        <w:rPr>
          <w:rFonts w:asciiTheme="minorHAnsi" w:hAnsiTheme="minorHAnsi"/>
          <w:color w:val="auto"/>
          <w:sz w:val="20"/>
          <w:szCs w:val="20"/>
          <w:lang w:val="sr-Cyrl-CS" w:eastAsia="sr-Cyrl-CS"/>
        </w:rPr>
        <w:t>КМ</w:t>
      </w:r>
      <w:r w:rsidR="007C2E76" w:rsidRPr="007C2E76">
        <w:rPr>
          <w:rFonts w:asciiTheme="minorHAnsi" w:hAnsiTheme="minorHAnsi"/>
          <w:color w:val="auto"/>
          <w:sz w:val="20"/>
          <w:szCs w:val="20"/>
          <w:lang w:val="sr-Cyrl-CS" w:eastAsia="sr-Cyrl-CS"/>
        </w:rPr>
        <w:t>,</w:t>
      </w:r>
      <w:r w:rsidRPr="007C2E76">
        <w:rPr>
          <w:rFonts w:asciiTheme="minorHAnsi" w:hAnsiTheme="minorHAnsi"/>
          <w:color w:val="auto"/>
          <w:sz w:val="20"/>
          <w:szCs w:val="20"/>
          <w:lang w:val="sr-Cyrl-CS" w:eastAsia="sr-Cyrl-CS"/>
        </w:rPr>
        <w:t xml:space="preserve"> а односе се на разграничене приходе од накнада за кредитни портфељ у износу од </w:t>
      </w:r>
      <w:r w:rsidR="007C2E76" w:rsidRPr="007C2E76">
        <w:rPr>
          <w:rFonts w:asciiTheme="minorHAnsi" w:hAnsiTheme="minorHAnsi"/>
          <w:color w:val="auto"/>
          <w:sz w:val="20"/>
          <w:szCs w:val="20"/>
          <w:lang w:val="sr-Cyrl-CS" w:eastAsia="sr-Cyrl-CS"/>
        </w:rPr>
        <w:t>19.294,30</w:t>
      </w:r>
      <w:r w:rsidRPr="007C2E76">
        <w:rPr>
          <w:rFonts w:asciiTheme="minorHAnsi" w:hAnsiTheme="minorHAnsi"/>
          <w:color w:val="auto"/>
          <w:sz w:val="20"/>
          <w:szCs w:val="20"/>
          <w:lang w:val="sr-Cyrl-CS" w:eastAsia="sr-Cyrl-CS"/>
        </w:rPr>
        <w:t xml:space="preserve"> КМ и разграничене приходе за потраживања по амортизационој вриједности премија по </w:t>
      </w:r>
      <w:r w:rsidRPr="00A64AF6">
        <w:rPr>
          <w:rFonts w:asciiTheme="minorHAnsi" w:hAnsiTheme="minorHAnsi"/>
          <w:color w:val="auto"/>
          <w:sz w:val="20"/>
          <w:szCs w:val="20"/>
          <w:lang w:val="sr-Cyrl-CS" w:eastAsia="sr-Cyrl-CS"/>
        </w:rPr>
        <w:t>основу изданих редовних гаранција и гар</w:t>
      </w:r>
      <w:r w:rsidR="007C2E76" w:rsidRPr="00A64AF6">
        <w:rPr>
          <w:rFonts w:asciiTheme="minorHAnsi" w:hAnsiTheme="minorHAnsi"/>
          <w:color w:val="auto"/>
          <w:sz w:val="20"/>
          <w:szCs w:val="20"/>
          <w:lang w:val="sr-Cyrl-CS" w:eastAsia="sr-Cyrl-CS"/>
        </w:rPr>
        <w:t>ан</w:t>
      </w:r>
      <w:r w:rsidRPr="00A64AF6">
        <w:rPr>
          <w:rFonts w:asciiTheme="minorHAnsi" w:hAnsiTheme="minorHAnsi"/>
          <w:color w:val="auto"/>
          <w:sz w:val="20"/>
          <w:szCs w:val="20"/>
          <w:lang w:val="sr-Cyrl-CS" w:eastAsia="sr-Cyrl-CS"/>
        </w:rPr>
        <w:t>ција из кредитн</w:t>
      </w:r>
      <w:r w:rsidR="007C2E76" w:rsidRPr="00A64AF6">
        <w:rPr>
          <w:rFonts w:asciiTheme="minorHAnsi" w:hAnsiTheme="minorHAnsi"/>
          <w:color w:val="auto"/>
          <w:sz w:val="20"/>
          <w:szCs w:val="20"/>
          <w:lang w:val="sr-Cyrl-CS" w:eastAsia="sr-Cyrl-CS"/>
        </w:rPr>
        <w:t xml:space="preserve">ог портфеља у износу од  168.184,27 </w:t>
      </w:r>
      <w:r w:rsidRPr="00A64AF6">
        <w:rPr>
          <w:rFonts w:ascii="Calibri" w:hAnsi="Calibri" w:cs="Calibri"/>
          <w:color w:val="auto"/>
          <w:sz w:val="20"/>
          <w:szCs w:val="20"/>
          <w:lang w:val="sr-Cyrl-CS" w:eastAsia="sr-Cyrl-CS"/>
        </w:rPr>
        <w:t>КМ</w:t>
      </w:r>
    </w:p>
    <w:p w14:paraId="3890894E" w14:textId="77777777" w:rsidR="007C2E76" w:rsidRPr="0052360C" w:rsidRDefault="007C2E76" w:rsidP="00A64AF6">
      <w:pPr>
        <w:pStyle w:val="ListParagraph"/>
        <w:numPr>
          <w:ilvl w:val="0"/>
          <w:numId w:val="24"/>
        </w:numPr>
        <w:ind w:left="1134" w:hanging="425"/>
        <w:rPr>
          <w:rFonts w:asciiTheme="minorHAnsi" w:hAnsiTheme="minorHAnsi"/>
          <w:color w:val="FF0000"/>
          <w:sz w:val="20"/>
          <w:szCs w:val="20"/>
          <w:lang w:val="sr-Cyrl-CS" w:eastAsia="sr-Cyrl-CS"/>
        </w:rPr>
      </w:pPr>
      <w:r w:rsidRPr="00A64AF6">
        <w:rPr>
          <w:rFonts w:asciiTheme="minorHAnsi" w:hAnsiTheme="minorHAnsi"/>
          <w:color w:val="auto"/>
          <w:sz w:val="20"/>
          <w:szCs w:val="20"/>
          <w:lang w:val="sr-Cyrl-CS" w:eastAsia="sr-Cyrl-CS"/>
        </w:rPr>
        <w:t xml:space="preserve">обавезе у страној валути износе 10.759,02 КМ, а односе се на обавезу по основу накнаде </w:t>
      </w:r>
      <w:r>
        <w:rPr>
          <w:rFonts w:asciiTheme="minorHAnsi" w:hAnsiTheme="minorHAnsi"/>
          <w:color w:val="auto"/>
          <w:sz w:val="20"/>
          <w:szCs w:val="20"/>
          <w:lang w:val="sr-Cyrl-CS" w:eastAsia="sr-Cyrl-CS"/>
        </w:rPr>
        <w:t xml:space="preserve">за чланство у Европској асоцијацији гарантних фондова </w:t>
      </w:r>
    </w:p>
    <w:p w14:paraId="1BF04B95" w14:textId="77777777" w:rsidR="0052360C" w:rsidRPr="00330E93" w:rsidRDefault="0052360C" w:rsidP="0052360C">
      <w:pPr>
        <w:pStyle w:val="ListParagraph"/>
        <w:ind w:left="1134"/>
        <w:rPr>
          <w:rFonts w:asciiTheme="minorHAnsi" w:hAnsiTheme="minorHAnsi"/>
          <w:color w:val="FF0000"/>
          <w:sz w:val="20"/>
          <w:szCs w:val="20"/>
          <w:lang w:val="sr-Cyrl-CS" w:eastAsia="sr-Cyrl-CS"/>
        </w:rPr>
      </w:pPr>
    </w:p>
    <w:p w14:paraId="6C90493A" w14:textId="77777777" w:rsidR="001538EF" w:rsidRPr="00E00B0B" w:rsidRDefault="001538EF" w:rsidP="00A64AF6">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E00B0B">
        <w:rPr>
          <w:rFonts w:asciiTheme="minorHAnsi" w:hAnsiTheme="minorHAnsi"/>
          <w:b/>
          <w:color w:val="auto"/>
          <w:sz w:val="20"/>
          <w:szCs w:val="20"/>
          <w:lang w:val="sr-Cyrl-CS" w:eastAsia="sr-Cyrl-CS"/>
        </w:rPr>
        <w:t>укупни капитал</w:t>
      </w:r>
      <w:r w:rsidR="00E00B0B" w:rsidRPr="00E00B0B">
        <w:rPr>
          <w:rFonts w:asciiTheme="minorHAnsi" w:hAnsiTheme="minorHAnsi"/>
          <w:color w:val="auto"/>
          <w:sz w:val="20"/>
          <w:szCs w:val="20"/>
          <w:lang w:val="sr-Cyrl-CS" w:eastAsia="sr-Cyrl-CS"/>
        </w:rPr>
        <w:t xml:space="preserve"> у износу од</w:t>
      </w:r>
      <w:r w:rsidRPr="00E00B0B">
        <w:rPr>
          <w:rFonts w:asciiTheme="minorHAnsi" w:hAnsiTheme="minorHAnsi"/>
          <w:color w:val="auto"/>
          <w:sz w:val="20"/>
          <w:szCs w:val="20"/>
          <w:lang w:val="sr-Cyrl-CS" w:eastAsia="sr-Cyrl-CS"/>
        </w:rPr>
        <w:t xml:space="preserve"> </w:t>
      </w:r>
      <w:r w:rsidR="00E00B0B" w:rsidRPr="00E00B0B">
        <w:rPr>
          <w:rFonts w:asciiTheme="minorHAnsi" w:hAnsiTheme="minorHAnsi"/>
          <w:color w:val="auto"/>
          <w:sz w:val="20"/>
          <w:szCs w:val="20"/>
          <w:lang w:val="sr-Cyrl-CS" w:eastAsia="sr-Cyrl-CS"/>
        </w:rPr>
        <w:t>17.829.389,00КМ</w:t>
      </w:r>
      <w:r w:rsidRPr="00E00B0B">
        <w:rPr>
          <w:rFonts w:asciiTheme="minorHAnsi" w:hAnsiTheme="minorHAnsi"/>
          <w:color w:val="auto"/>
          <w:sz w:val="20"/>
          <w:szCs w:val="20"/>
          <w:lang w:val="sr-Cyrl-CS" w:eastAsia="sr-Cyrl-CS"/>
        </w:rPr>
        <w:t xml:space="preserve">, </w:t>
      </w:r>
      <w:r w:rsidR="00E00B0B">
        <w:rPr>
          <w:rFonts w:asciiTheme="minorHAnsi" w:hAnsiTheme="minorHAnsi"/>
          <w:color w:val="auto"/>
          <w:sz w:val="20"/>
          <w:szCs w:val="20"/>
          <w:lang w:val="sr-Cyrl-CS" w:eastAsia="sr-Cyrl-CS"/>
        </w:rPr>
        <w:t>а чини га</w:t>
      </w:r>
      <w:r w:rsidRPr="00E00B0B">
        <w:rPr>
          <w:rFonts w:asciiTheme="minorHAnsi" w:hAnsiTheme="minorHAnsi"/>
          <w:color w:val="auto"/>
          <w:sz w:val="20"/>
          <w:szCs w:val="20"/>
          <w:lang w:val="sr-Cyrl-CS" w:eastAsia="sr-Cyrl-CS"/>
        </w:rPr>
        <w:t xml:space="preserve"> акциј</w:t>
      </w:r>
      <w:r w:rsidR="00E00B0B" w:rsidRPr="00E00B0B">
        <w:rPr>
          <w:rFonts w:asciiTheme="minorHAnsi" w:hAnsiTheme="minorHAnsi"/>
          <w:color w:val="auto"/>
          <w:sz w:val="20"/>
          <w:szCs w:val="20"/>
          <w:lang w:val="sr-Cyrl-CS" w:eastAsia="sr-Cyrl-CS"/>
        </w:rPr>
        <w:t>ски капитал</w:t>
      </w:r>
      <w:r w:rsidR="00E00B0B">
        <w:rPr>
          <w:rFonts w:asciiTheme="minorHAnsi" w:hAnsiTheme="minorHAnsi"/>
          <w:color w:val="auto"/>
          <w:sz w:val="20"/>
          <w:szCs w:val="20"/>
          <w:lang w:val="sr-Cyrl-CS" w:eastAsia="sr-Cyrl-CS"/>
        </w:rPr>
        <w:t xml:space="preserve"> од </w:t>
      </w:r>
      <w:r w:rsidR="00E00B0B" w:rsidRPr="00E00B0B">
        <w:rPr>
          <w:rFonts w:asciiTheme="minorHAnsi" w:hAnsiTheme="minorHAnsi"/>
          <w:color w:val="auto"/>
          <w:sz w:val="20"/>
          <w:szCs w:val="20"/>
          <w:lang w:val="sr-Cyrl-CS" w:eastAsia="sr-Cyrl-CS"/>
        </w:rPr>
        <w:t xml:space="preserve"> 30.000.000,00 КМ, који је умањен за износ непокривеног губит</w:t>
      </w:r>
      <w:r w:rsidRPr="00E00B0B">
        <w:rPr>
          <w:rFonts w:asciiTheme="minorHAnsi" w:hAnsiTheme="minorHAnsi"/>
          <w:color w:val="auto"/>
          <w:sz w:val="20"/>
          <w:szCs w:val="20"/>
          <w:lang w:val="sr-Cyrl-CS" w:eastAsia="sr-Cyrl-CS"/>
        </w:rPr>
        <w:t>к</w:t>
      </w:r>
      <w:r w:rsidR="00E00B0B" w:rsidRPr="00E00B0B">
        <w:rPr>
          <w:rFonts w:asciiTheme="minorHAnsi" w:hAnsiTheme="minorHAnsi"/>
          <w:color w:val="auto"/>
          <w:sz w:val="20"/>
          <w:szCs w:val="20"/>
          <w:lang w:val="sr-Cyrl-CS" w:eastAsia="sr-Cyrl-CS"/>
        </w:rPr>
        <w:t>а</w:t>
      </w:r>
      <w:r w:rsidRPr="00E00B0B">
        <w:rPr>
          <w:rFonts w:asciiTheme="minorHAnsi" w:hAnsiTheme="minorHAnsi"/>
          <w:color w:val="auto"/>
          <w:sz w:val="20"/>
          <w:szCs w:val="20"/>
          <w:lang w:val="sr-Cyrl-CS" w:eastAsia="sr-Cyrl-CS"/>
        </w:rPr>
        <w:t xml:space="preserve"> из ранијег периода </w:t>
      </w:r>
      <w:r w:rsidR="00E00B0B">
        <w:rPr>
          <w:rFonts w:asciiTheme="minorHAnsi" w:hAnsiTheme="minorHAnsi"/>
          <w:color w:val="auto"/>
          <w:sz w:val="20"/>
          <w:szCs w:val="20"/>
          <w:lang w:val="sr-Cyrl-CS" w:eastAsia="sr-Cyrl-CS"/>
        </w:rPr>
        <w:t>у износу од</w:t>
      </w:r>
      <w:r w:rsidR="00E00B0B" w:rsidRPr="00E00B0B">
        <w:rPr>
          <w:rFonts w:asciiTheme="minorHAnsi" w:hAnsiTheme="minorHAnsi"/>
          <w:color w:val="auto"/>
          <w:sz w:val="20"/>
          <w:szCs w:val="20"/>
          <w:lang w:val="sr-Cyrl-CS" w:eastAsia="sr-Cyrl-CS"/>
        </w:rPr>
        <w:t xml:space="preserve"> 10.384.912,00 </w:t>
      </w:r>
      <w:r w:rsidR="00E00B0B">
        <w:rPr>
          <w:rFonts w:asciiTheme="minorHAnsi" w:hAnsiTheme="minorHAnsi"/>
          <w:color w:val="auto"/>
          <w:sz w:val="20"/>
          <w:szCs w:val="20"/>
          <w:lang w:val="sr-Cyrl-CS" w:eastAsia="sr-Cyrl-CS"/>
        </w:rPr>
        <w:t>КМ (</w:t>
      </w:r>
      <w:r w:rsidRPr="00E00B0B">
        <w:rPr>
          <w:rFonts w:asciiTheme="minorHAnsi" w:hAnsiTheme="minorHAnsi"/>
          <w:color w:val="auto"/>
          <w:sz w:val="20"/>
          <w:szCs w:val="20"/>
          <w:lang w:val="sr-Cyrl-CS" w:eastAsia="sr-Cyrl-CS"/>
        </w:rPr>
        <w:t xml:space="preserve">настао исправкама вриједности потраживања од банака у стечају гдје су била депонована или уложена слободна новчана средства Фонда- Бобар банка у стечају и Банка Српске у стечају) и </w:t>
      </w:r>
      <w:r w:rsidR="00E00B0B" w:rsidRPr="00E00B0B">
        <w:rPr>
          <w:rFonts w:asciiTheme="minorHAnsi" w:hAnsiTheme="minorHAnsi"/>
          <w:color w:val="auto"/>
          <w:sz w:val="20"/>
          <w:szCs w:val="20"/>
          <w:lang w:val="sr-Cyrl-CS" w:eastAsia="sr-Cyrl-CS"/>
        </w:rPr>
        <w:t>губитка</w:t>
      </w:r>
      <w:r w:rsidRPr="00E00B0B">
        <w:rPr>
          <w:rFonts w:asciiTheme="minorHAnsi" w:hAnsiTheme="minorHAnsi"/>
          <w:color w:val="auto"/>
          <w:sz w:val="20"/>
          <w:szCs w:val="20"/>
          <w:lang w:val="sr-Cyrl-CS" w:eastAsia="sr-Cyrl-CS"/>
        </w:rPr>
        <w:t xml:space="preserve"> текуће године</w:t>
      </w:r>
      <w:r w:rsidR="00E00B0B" w:rsidRPr="00E00B0B">
        <w:rPr>
          <w:rFonts w:asciiTheme="minorHAnsi" w:hAnsiTheme="minorHAnsi"/>
          <w:color w:val="auto"/>
          <w:sz w:val="20"/>
          <w:szCs w:val="20"/>
          <w:lang w:val="sr-Cyrl-CS" w:eastAsia="sr-Cyrl-CS"/>
        </w:rPr>
        <w:t xml:space="preserve"> у износу од</w:t>
      </w:r>
      <w:r w:rsidRPr="00E00B0B">
        <w:rPr>
          <w:rFonts w:asciiTheme="minorHAnsi" w:hAnsiTheme="minorHAnsi"/>
          <w:color w:val="auto"/>
          <w:sz w:val="20"/>
          <w:szCs w:val="20"/>
          <w:lang w:val="sr-Cyrl-CS" w:eastAsia="sr-Cyrl-CS"/>
        </w:rPr>
        <w:t xml:space="preserve"> </w:t>
      </w:r>
      <w:r w:rsidR="00E00B0B" w:rsidRPr="00E00B0B">
        <w:rPr>
          <w:rFonts w:asciiTheme="minorHAnsi" w:hAnsiTheme="minorHAnsi"/>
          <w:color w:val="auto"/>
          <w:sz w:val="20"/>
          <w:szCs w:val="20"/>
          <w:lang w:val="sr-Cyrl-CS" w:eastAsia="sr-Cyrl-CS"/>
        </w:rPr>
        <w:t>1.785.699,00</w:t>
      </w:r>
      <w:r w:rsidRPr="00E00B0B">
        <w:rPr>
          <w:rFonts w:asciiTheme="minorHAnsi" w:hAnsiTheme="minorHAnsi"/>
          <w:color w:val="auto"/>
          <w:sz w:val="20"/>
          <w:szCs w:val="20"/>
          <w:lang w:val="sr-Cyrl-CS" w:eastAsia="sr-Cyrl-CS"/>
        </w:rPr>
        <w:t>КМ</w:t>
      </w:r>
      <w:r w:rsidR="00E00B0B">
        <w:rPr>
          <w:rFonts w:asciiTheme="minorHAnsi" w:hAnsiTheme="minorHAnsi"/>
          <w:color w:val="auto"/>
          <w:sz w:val="20"/>
          <w:szCs w:val="20"/>
          <w:lang w:val="sr-Cyrl-CS" w:eastAsia="sr-Cyrl-CS"/>
        </w:rPr>
        <w:t>.</w:t>
      </w:r>
    </w:p>
    <w:p w14:paraId="76561573" w14:textId="77777777" w:rsidR="00424A91" w:rsidRPr="005767EF" w:rsidRDefault="00424A91" w:rsidP="001538EF">
      <w:pPr>
        <w:rPr>
          <w:rFonts w:asciiTheme="minorHAnsi" w:hAnsiTheme="minorHAnsi"/>
          <w:sz w:val="20"/>
          <w:szCs w:val="20"/>
          <w:lang w:val="sr-Cyrl-CS" w:eastAsia="sr-Cyrl-CS"/>
        </w:rPr>
      </w:pPr>
    </w:p>
    <w:p w14:paraId="5F81E5D2" w14:textId="77777777" w:rsidR="001538EF" w:rsidRPr="00EE16CE" w:rsidRDefault="00B44D0C" w:rsidP="00B44D0C">
      <w:pPr>
        <w:pStyle w:val="Heading2"/>
        <w:numPr>
          <w:ilvl w:val="0"/>
          <w:numId w:val="0"/>
        </w:numPr>
        <w:ind w:left="576" w:hanging="576"/>
        <w:rPr>
          <w:rFonts w:asciiTheme="minorHAnsi" w:hAnsiTheme="minorHAnsi"/>
          <w:szCs w:val="20"/>
        </w:rPr>
      </w:pPr>
      <w:bookmarkStart w:id="17" w:name="_Toc135292179"/>
      <w:r w:rsidRPr="00EE16CE">
        <w:rPr>
          <w:rFonts w:asciiTheme="minorHAnsi" w:hAnsiTheme="minorHAnsi"/>
          <w:szCs w:val="20"/>
          <w:lang w:val="sr-Cyrl-RS"/>
        </w:rPr>
        <w:t xml:space="preserve">3.5.      </w:t>
      </w:r>
      <w:r w:rsidR="001538EF" w:rsidRPr="00EE16CE">
        <w:rPr>
          <w:rFonts w:asciiTheme="minorHAnsi" w:hAnsiTheme="minorHAnsi"/>
          <w:szCs w:val="20"/>
        </w:rPr>
        <w:t xml:space="preserve">АНАЛИЗА </w:t>
      </w:r>
      <w:r w:rsidR="00424A91">
        <w:rPr>
          <w:rFonts w:asciiTheme="minorHAnsi" w:hAnsiTheme="minorHAnsi"/>
          <w:szCs w:val="20"/>
          <w:lang w:val="sr-Cyrl-RS"/>
        </w:rPr>
        <w:t xml:space="preserve">СЛОБОДНИХ </w:t>
      </w:r>
      <w:r w:rsidR="008C6F9F" w:rsidRPr="00EE16CE">
        <w:rPr>
          <w:rFonts w:asciiTheme="minorHAnsi" w:hAnsiTheme="minorHAnsi"/>
          <w:szCs w:val="20"/>
          <w:lang w:val="sr-Cyrl-RS"/>
        </w:rPr>
        <w:t>НОВЧАНИХ СРЕДСТАВА</w:t>
      </w:r>
      <w:r w:rsidR="001538EF" w:rsidRPr="00EE16CE">
        <w:rPr>
          <w:rFonts w:asciiTheme="minorHAnsi" w:hAnsiTheme="minorHAnsi"/>
          <w:szCs w:val="20"/>
        </w:rPr>
        <w:t xml:space="preserve"> ФОНДА НА ДАН 31.12.202</w:t>
      </w:r>
      <w:r w:rsidR="000B3AEA" w:rsidRPr="00EE16CE">
        <w:rPr>
          <w:rFonts w:asciiTheme="minorHAnsi" w:hAnsiTheme="minorHAnsi"/>
          <w:szCs w:val="20"/>
          <w:lang w:val="sr-Cyrl-RS"/>
        </w:rPr>
        <w:t>3</w:t>
      </w:r>
      <w:r w:rsidR="001538EF" w:rsidRPr="00EE16CE">
        <w:rPr>
          <w:rFonts w:asciiTheme="minorHAnsi" w:hAnsiTheme="minorHAnsi"/>
          <w:szCs w:val="20"/>
        </w:rPr>
        <w:t>. ГОДИНЕ</w:t>
      </w:r>
      <w:bookmarkEnd w:id="17"/>
    </w:p>
    <w:p w14:paraId="155A8BAC" w14:textId="77777777" w:rsidR="001538EF" w:rsidRPr="005767EF" w:rsidRDefault="001538EF" w:rsidP="001538EF">
      <w:pPr>
        <w:jc w:val="center"/>
        <w:rPr>
          <w:rFonts w:asciiTheme="minorHAnsi" w:hAnsiTheme="minorHAnsi"/>
          <w:b/>
          <w:sz w:val="20"/>
          <w:szCs w:val="20"/>
          <w:lang w:val="sr-Cyrl-CS" w:eastAsia="sr-Cyrl-CS"/>
        </w:rPr>
      </w:pPr>
    </w:p>
    <w:p w14:paraId="4DAD0BEB" w14:textId="77777777" w:rsidR="00B44D0C" w:rsidRDefault="00B44D0C" w:rsidP="00B44D0C">
      <w:pPr>
        <w:autoSpaceDE w:val="0"/>
        <w:autoSpaceDN w:val="0"/>
        <w:adjustRightInd w:val="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val="sr-Latn-RS" w:eastAsia="en-US"/>
        </w:rPr>
        <w:t>Правилником о улагању средстава Гарантног фонда Републике Српске</w:t>
      </w:r>
      <w:r w:rsidRPr="005767EF">
        <w:rPr>
          <w:rFonts w:asciiTheme="minorHAnsi" w:eastAsiaTheme="minorHAnsi" w:hAnsiTheme="minorHAnsi"/>
          <w:color w:val="auto"/>
          <w:sz w:val="20"/>
          <w:szCs w:val="20"/>
          <w:lang w:val="sr-Cyrl-BA" w:eastAsia="en-US"/>
        </w:rPr>
        <w:t xml:space="preserve"> који је донијела Скупштина акционара Фонда 11.03.2021. године </w:t>
      </w:r>
      <w:r w:rsidRPr="005767EF">
        <w:rPr>
          <w:rFonts w:asciiTheme="minorHAnsi" w:eastAsiaTheme="minorHAnsi" w:hAnsiTheme="minorHAnsi"/>
          <w:color w:val="auto"/>
          <w:sz w:val="20"/>
          <w:szCs w:val="20"/>
          <w:lang w:val="sr-Latn-RS" w:eastAsia="en-US"/>
        </w:rPr>
        <w:t>дефини</w:t>
      </w:r>
      <w:r w:rsidRPr="005767EF">
        <w:rPr>
          <w:rFonts w:asciiTheme="minorHAnsi" w:eastAsiaTheme="minorHAnsi" w:hAnsiTheme="minorHAnsi"/>
          <w:color w:val="auto"/>
          <w:sz w:val="20"/>
          <w:szCs w:val="20"/>
          <w:lang w:val="sr-Cyrl-BA" w:eastAsia="en-US"/>
        </w:rPr>
        <w:t xml:space="preserve">сани су </w:t>
      </w:r>
      <w:r w:rsidRPr="005767EF">
        <w:rPr>
          <w:rFonts w:asciiTheme="minorHAnsi" w:eastAsiaTheme="minorHAnsi" w:hAnsiTheme="minorHAnsi"/>
          <w:color w:val="auto"/>
          <w:sz w:val="20"/>
          <w:szCs w:val="20"/>
          <w:lang w:val="sr-Latn-RS" w:eastAsia="en-US"/>
        </w:rPr>
        <w:t xml:space="preserve"> циљеви инвестирања, начела и правила улагања средстава </w:t>
      </w:r>
      <w:r w:rsidRPr="005767EF">
        <w:rPr>
          <w:rFonts w:asciiTheme="minorHAnsi" w:eastAsiaTheme="minorHAnsi" w:hAnsiTheme="minorHAnsi"/>
          <w:color w:val="auto"/>
          <w:sz w:val="20"/>
          <w:szCs w:val="20"/>
          <w:lang w:val="sr-Cyrl-BA" w:eastAsia="en-US"/>
        </w:rPr>
        <w:t>Фонда у циљу његовог развоја.</w:t>
      </w:r>
      <w:r w:rsidRPr="005767EF">
        <w:rPr>
          <w:rFonts w:asciiTheme="minorHAnsi" w:eastAsiaTheme="minorHAnsi" w:hAnsiTheme="minorHAnsi"/>
          <w:color w:val="auto"/>
          <w:sz w:val="20"/>
          <w:szCs w:val="20"/>
          <w:lang w:val="sr-Latn-RS" w:eastAsia="en-US"/>
        </w:rPr>
        <w:t xml:space="preserve"> </w:t>
      </w:r>
    </w:p>
    <w:p w14:paraId="02AF0653" w14:textId="77777777" w:rsidR="008C6F9F" w:rsidRPr="008C6F9F" w:rsidRDefault="008C6F9F" w:rsidP="00B44D0C">
      <w:pPr>
        <w:autoSpaceDE w:val="0"/>
        <w:autoSpaceDN w:val="0"/>
        <w:adjustRightInd w:val="0"/>
        <w:rPr>
          <w:rFonts w:asciiTheme="minorHAnsi" w:eastAsiaTheme="minorHAnsi" w:hAnsiTheme="minorHAnsi"/>
          <w:color w:val="auto"/>
          <w:sz w:val="20"/>
          <w:szCs w:val="20"/>
          <w:lang w:val="sr-Cyrl-RS" w:eastAsia="en-US"/>
        </w:rPr>
      </w:pPr>
    </w:p>
    <w:p w14:paraId="0F924A5D" w14:textId="77777777" w:rsidR="00B44D0C" w:rsidRPr="005767EF" w:rsidRDefault="00B44D0C" w:rsidP="00B44D0C">
      <w:pPr>
        <w:autoSpaceDE w:val="0"/>
        <w:autoSpaceDN w:val="0"/>
        <w:adjustRightInd w:val="0"/>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Cyrl-BA" w:eastAsia="en-US"/>
        </w:rPr>
        <w:t>Основни принципи улагања заснивају се на :</w:t>
      </w:r>
    </w:p>
    <w:p w14:paraId="7A3B8BB4"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усклађености са базичним циљевима друштва као цјелине</w:t>
      </w:r>
    </w:p>
    <w:p w14:paraId="596B78E4"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усклађености са базичним циљевима Програма економских реформи Владе Републике Српске</w:t>
      </w:r>
    </w:p>
    <w:p w14:paraId="0B09B074"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потпуном повезаности ca развојном политиком Фонда</w:t>
      </w:r>
    </w:p>
    <w:p w14:paraId="0DC2FBA7"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iCs/>
          <w:color w:val="auto"/>
          <w:sz w:val="20"/>
          <w:szCs w:val="20"/>
          <w:lang w:val="sr-Latn-RS" w:eastAsia="en-US"/>
        </w:rPr>
        <w:t>об</w:t>
      </w:r>
      <w:r w:rsidRPr="005767EF">
        <w:rPr>
          <w:rFonts w:asciiTheme="minorHAnsi" w:eastAsiaTheme="minorHAnsi" w:hAnsiTheme="minorHAnsi"/>
          <w:color w:val="auto"/>
          <w:sz w:val="20"/>
          <w:szCs w:val="20"/>
          <w:lang w:val="sr-Latn-RS" w:eastAsia="en-US"/>
        </w:rPr>
        <w:t>јективности у одлучивању о најповољнијем инвестиционом рје</w:t>
      </w:r>
      <w:r w:rsidRPr="005767EF">
        <w:rPr>
          <w:rFonts w:asciiTheme="minorHAnsi" w:eastAsiaTheme="minorHAnsi" w:hAnsiTheme="minorHAnsi"/>
          <w:color w:val="auto"/>
          <w:sz w:val="20"/>
          <w:szCs w:val="20"/>
          <w:lang w:val="sr-Cyrl-BA" w:eastAsia="en-US"/>
        </w:rPr>
        <w:t>шењу</w:t>
      </w:r>
    </w:p>
    <w:p w14:paraId="0C3D0146"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сигурности имовине Фонда (Фонд ће улагати у финансијске инструменте емитената са високим кредитним рејтингом и ниским ризиком)</w:t>
      </w:r>
    </w:p>
    <w:p w14:paraId="1B669879"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диверсификације портфеља</w:t>
      </w:r>
    </w:p>
    <w:p w14:paraId="49F41CB8"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ликвидности - улагање ће се вршити у финансијске инструменте које је могуће брзо и ефикасно купити и продати по релативно уједначеној и стабилној цијени као и финансијске инструменте чији је новчани ток извјестан и унапријед познат</w:t>
      </w:r>
    </w:p>
    <w:p w14:paraId="34FE929D" w14:textId="77777777" w:rsidR="00B44D0C" w:rsidRPr="00B44D0C"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профитабилности - улагање ће се вршити на начин да се у структури портфеља Фонда налазе финансијски инструменти које, уз уважавање претходних начела, доносе највећи принос за преузети ниво ризика</w:t>
      </w:r>
    </w:p>
    <w:p w14:paraId="254B6DB9" w14:textId="77777777" w:rsidR="00B44D0C" w:rsidRPr="005767EF" w:rsidRDefault="00B44D0C" w:rsidP="00B00123">
      <w:pPr>
        <w:pStyle w:val="ListParagraph"/>
        <w:autoSpaceDE w:val="0"/>
        <w:autoSpaceDN w:val="0"/>
        <w:adjustRightInd w:val="0"/>
        <w:ind w:left="993"/>
        <w:jc w:val="left"/>
        <w:rPr>
          <w:rFonts w:asciiTheme="minorHAnsi" w:eastAsiaTheme="minorHAnsi" w:hAnsiTheme="minorHAnsi"/>
          <w:color w:val="auto"/>
          <w:sz w:val="20"/>
          <w:szCs w:val="20"/>
          <w:lang w:val="sr-Latn-RS" w:eastAsia="en-US"/>
        </w:rPr>
      </w:pPr>
    </w:p>
    <w:p w14:paraId="59BD2022" w14:textId="77777777" w:rsidR="00B44D0C" w:rsidRDefault="00B44D0C" w:rsidP="00B44D0C">
      <w:pPr>
        <w:autoSpaceDE w:val="0"/>
        <w:autoSpaceDN w:val="0"/>
        <w:adjustRightInd w:val="0"/>
        <w:rPr>
          <w:rFonts w:asciiTheme="minorHAnsi" w:eastAsia="Gulim" w:hAnsiTheme="minorHAnsi"/>
          <w:color w:val="auto"/>
          <w:sz w:val="20"/>
          <w:szCs w:val="20"/>
          <w:lang w:val="sr-Cyrl-RS" w:eastAsia="en-US"/>
        </w:rPr>
      </w:pPr>
      <w:r w:rsidRPr="005767EF">
        <w:rPr>
          <w:rFonts w:asciiTheme="minorHAnsi" w:eastAsia="Gulim" w:hAnsiTheme="minorHAnsi"/>
          <w:color w:val="auto"/>
          <w:sz w:val="20"/>
          <w:szCs w:val="20"/>
          <w:lang w:val="sr-Latn-RS" w:eastAsia="en-US"/>
        </w:rPr>
        <w:t>Циљ инвестирања средстава Гарантног фонда Републике Српске је да се оствари дугорочно стабилна стопа приноса у односу на улагања Фонда проводећи умјерено конзервативну инвестициону политику.</w:t>
      </w:r>
    </w:p>
    <w:p w14:paraId="47868E98" w14:textId="77777777" w:rsidR="00170349" w:rsidRDefault="00170349" w:rsidP="00B44D0C">
      <w:pPr>
        <w:autoSpaceDE w:val="0"/>
        <w:autoSpaceDN w:val="0"/>
        <w:adjustRightInd w:val="0"/>
        <w:rPr>
          <w:rFonts w:asciiTheme="minorHAnsi" w:eastAsia="Gulim" w:hAnsiTheme="minorHAnsi"/>
          <w:color w:val="auto"/>
          <w:sz w:val="20"/>
          <w:szCs w:val="20"/>
          <w:lang w:val="sr-Cyrl-RS" w:eastAsia="en-US"/>
        </w:rPr>
      </w:pPr>
    </w:p>
    <w:p w14:paraId="101939AF" w14:textId="77777777" w:rsidR="00170349" w:rsidRDefault="00170349" w:rsidP="00B44D0C">
      <w:pPr>
        <w:autoSpaceDE w:val="0"/>
        <w:autoSpaceDN w:val="0"/>
        <w:adjustRightInd w:val="0"/>
        <w:rPr>
          <w:rFonts w:asciiTheme="minorHAnsi" w:eastAsia="Gulim" w:hAnsiTheme="minorHAnsi"/>
          <w:color w:val="auto"/>
          <w:sz w:val="20"/>
          <w:szCs w:val="20"/>
          <w:lang w:val="sr-Cyrl-RS" w:eastAsia="en-US"/>
        </w:rPr>
      </w:pPr>
    </w:p>
    <w:p w14:paraId="32C6A799" w14:textId="77777777" w:rsidR="00170349" w:rsidRPr="00170349" w:rsidRDefault="00170349" w:rsidP="00B44D0C">
      <w:pPr>
        <w:autoSpaceDE w:val="0"/>
        <w:autoSpaceDN w:val="0"/>
        <w:adjustRightInd w:val="0"/>
        <w:rPr>
          <w:rFonts w:asciiTheme="minorHAnsi" w:eastAsia="Gulim" w:hAnsiTheme="minorHAnsi"/>
          <w:color w:val="auto"/>
          <w:sz w:val="20"/>
          <w:szCs w:val="20"/>
          <w:lang w:val="sr-Cyrl-RS" w:eastAsia="en-US"/>
        </w:rPr>
      </w:pPr>
    </w:p>
    <w:p w14:paraId="0A1854D4" w14:textId="77777777" w:rsidR="00B44D0C" w:rsidRPr="00B44D0C" w:rsidRDefault="00B44D0C" w:rsidP="00B44D0C">
      <w:pPr>
        <w:autoSpaceDE w:val="0"/>
        <w:autoSpaceDN w:val="0"/>
        <w:adjustRightInd w:val="0"/>
        <w:rPr>
          <w:rFonts w:asciiTheme="minorHAnsi" w:eastAsia="Gulim" w:hAnsiTheme="minorHAnsi"/>
          <w:color w:val="auto"/>
          <w:sz w:val="20"/>
          <w:szCs w:val="20"/>
          <w:lang w:val="sr-Cyrl-RS" w:eastAsia="en-US"/>
        </w:rPr>
      </w:pPr>
    </w:p>
    <w:p w14:paraId="627AFDFD" w14:textId="77777777"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Гарантни фонд Републике Српске расположива средства може да улаже у:</w:t>
      </w:r>
    </w:p>
    <w:p w14:paraId="236EBCDC" w14:textId="77777777"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p>
    <w:p w14:paraId="6A50179D"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орочене депозите у банкама са сједиштем у Републици Српској</w:t>
      </w:r>
    </w:p>
    <w:p w14:paraId="1DA6DE1E"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дужничке хартије од вриједности чији је емитент или гарант Република Српска</w:t>
      </w:r>
    </w:p>
    <w:p w14:paraId="25A3F6F2"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и друге дужничке хартије од вриједности које је издала или дала гаранцију јединица локалне самоуправе у Републици Српској</w:t>
      </w:r>
    </w:p>
    <w:p w14:paraId="1E4577C9"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банака и других финансијских институција којима се тргује на организованом тржишту хартија од вриједности у Републици Српској</w:t>
      </w:r>
    </w:p>
    <w:p w14:paraId="6A1113A3"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привредних друштава којима се тргује на организованом тржишту хартија од вриједности у Републици Српској</w:t>
      </w:r>
    </w:p>
    <w:p w14:paraId="2C2B4835"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редовне акције банака и других финансијских институција којима се тргује на организованом тржишту хартија од вриједности у Републици Српској</w:t>
      </w:r>
    </w:p>
    <w:p w14:paraId="137DD3A0"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приоритетне акције банака и других финансијских институција којима се тргује на организованом тржишту хартија од вриједности у Републици Српској</w:t>
      </w:r>
    </w:p>
    <w:p w14:paraId="5D2C67B5"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субординиране обвезнице банака и других финансијских институција којима се тргује на организованом тржишту хартија од вриједности у Републици Српској</w:t>
      </w:r>
    </w:p>
    <w:p w14:paraId="0B9368A5"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некретнине; у изузетним случајевима принудне наплате потраживања насталих</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 xml:space="preserve"> по основу издатих гаранција</w:t>
      </w:r>
    </w:p>
    <w:p w14:paraId="312225E9"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удје</w:t>
      </w:r>
      <w:r w:rsidRPr="005767EF">
        <w:rPr>
          <w:rFonts w:asciiTheme="minorHAnsi" w:eastAsia="Gulim" w:hAnsiTheme="minorHAnsi"/>
          <w:color w:val="auto"/>
          <w:sz w:val="20"/>
          <w:szCs w:val="20"/>
          <w:lang w:val="sr-Cyrl-BA" w:eastAsia="en-US"/>
        </w:rPr>
        <w:t xml:space="preserve">ле у </w:t>
      </w:r>
      <w:r w:rsidRPr="005767EF">
        <w:rPr>
          <w:rFonts w:asciiTheme="minorHAnsi" w:eastAsia="Gulim" w:hAnsiTheme="minorHAnsi"/>
          <w:color w:val="auto"/>
          <w:sz w:val="20"/>
          <w:szCs w:val="20"/>
          <w:lang w:val="sr-Latn-RS" w:eastAsia="en-US"/>
        </w:rPr>
        <w:t xml:space="preserve"> отвореним инвестиционоим фондовима регистрованим у Републици Српској којима се тргује на организованом тржишту хартија од вриједности у</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Републици Српској</w:t>
      </w:r>
    </w:p>
    <w:p w14:paraId="06151651" w14:textId="77777777" w:rsidR="00B00123" w:rsidRPr="000F5C04" w:rsidRDefault="00B44D0C" w:rsidP="00B00123">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акције привредних друштава са сједиштем у Републици Српској којима се тргује на организованом тржишту хартија од вриједности у Републици Српској</w:t>
      </w:r>
    </w:p>
    <w:p w14:paraId="7205DD84" w14:textId="77777777" w:rsidR="003E21A9" w:rsidRDefault="003E21A9" w:rsidP="008C6F9F">
      <w:pPr>
        <w:rPr>
          <w:rFonts w:asciiTheme="minorHAnsi" w:eastAsia="Calibri" w:hAnsiTheme="minorHAnsi"/>
          <w:color w:val="auto"/>
          <w:sz w:val="20"/>
          <w:szCs w:val="20"/>
          <w:lang w:val="sr-Cyrl-RS" w:eastAsia="en-US"/>
        </w:rPr>
      </w:pPr>
      <w:r w:rsidRPr="005767EF">
        <w:rPr>
          <w:rFonts w:asciiTheme="minorHAnsi" w:eastAsiaTheme="minorHAnsi" w:hAnsiTheme="minorHAnsi"/>
          <w:color w:val="auto"/>
          <w:sz w:val="20"/>
          <w:szCs w:val="20"/>
          <w:lang w:val="sr-Cyrl-BA" w:eastAsia="en-US"/>
        </w:rPr>
        <w:t>Уважавајући горе наведене принципе, критерије и могућности улагања сло</w:t>
      </w:r>
      <w:r>
        <w:rPr>
          <w:rFonts w:asciiTheme="minorHAnsi" w:eastAsiaTheme="minorHAnsi" w:hAnsiTheme="minorHAnsi"/>
          <w:color w:val="auto"/>
          <w:sz w:val="20"/>
          <w:szCs w:val="20"/>
          <w:lang w:val="sr-Cyrl-BA" w:eastAsia="en-US"/>
        </w:rPr>
        <w:t xml:space="preserve">бодних новчаних средстава, </w:t>
      </w:r>
      <w:r w:rsidRPr="005767EF">
        <w:rPr>
          <w:rFonts w:asciiTheme="minorHAnsi" w:eastAsiaTheme="minorHAnsi" w:hAnsiTheme="minorHAnsi"/>
          <w:color w:val="auto"/>
          <w:sz w:val="20"/>
          <w:szCs w:val="20"/>
          <w:lang w:val="sr-Cyrl-BA" w:eastAsia="en-US"/>
        </w:rPr>
        <w:t>Фонд</w:t>
      </w:r>
      <w:r w:rsidR="0066471A">
        <w:rPr>
          <w:rFonts w:asciiTheme="minorHAnsi" w:eastAsiaTheme="minorHAnsi" w:hAnsiTheme="minorHAnsi"/>
          <w:color w:val="auto"/>
          <w:sz w:val="20"/>
          <w:szCs w:val="20"/>
          <w:lang w:val="sr-Cyrl-BA" w:eastAsia="en-US"/>
        </w:rPr>
        <w:t xml:space="preserve"> је</w:t>
      </w:r>
      <w:r w:rsidRPr="005767EF">
        <w:rPr>
          <w:rFonts w:asciiTheme="minorHAnsi" w:eastAsiaTheme="minorHAnsi" w:hAnsiTheme="minorHAnsi"/>
          <w:color w:val="auto"/>
          <w:sz w:val="20"/>
          <w:szCs w:val="20"/>
          <w:lang w:val="sr-Cyrl-BA" w:eastAsia="en-US"/>
        </w:rPr>
        <w:t xml:space="preserve"> </w:t>
      </w:r>
      <w:r w:rsidR="0066471A">
        <w:rPr>
          <w:rFonts w:asciiTheme="minorHAnsi" w:eastAsiaTheme="minorHAnsi" w:hAnsiTheme="minorHAnsi"/>
          <w:color w:val="auto"/>
          <w:sz w:val="20"/>
          <w:szCs w:val="20"/>
          <w:lang w:val="sr-Cyrl-BA" w:eastAsia="en-US"/>
        </w:rPr>
        <w:t>континуирано вршио</w:t>
      </w:r>
      <w:r w:rsidRPr="005767EF">
        <w:rPr>
          <w:rFonts w:asciiTheme="minorHAnsi" w:eastAsiaTheme="minorHAnsi" w:hAnsiTheme="minorHAnsi"/>
          <w:color w:val="auto"/>
          <w:sz w:val="20"/>
          <w:szCs w:val="20"/>
          <w:lang w:val="sr-Cyrl-BA" w:eastAsia="en-US"/>
        </w:rPr>
        <w:t xml:space="preserve"> улагања слободних новчаних средстава у </w:t>
      </w:r>
      <w:r w:rsidR="0066471A">
        <w:rPr>
          <w:rFonts w:asciiTheme="minorHAnsi" w:eastAsiaTheme="minorHAnsi" w:hAnsiTheme="minorHAnsi"/>
          <w:color w:val="auto"/>
          <w:sz w:val="20"/>
          <w:szCs w:val="20"/>
          <w:lang w:val="sr-Cyrl-BA" w:eastAsia="en-US"/>
        </w:rPr>
        <w:t xml:space="preserve">дужничке </w:t>
      </w:r>
      <w:r w:rsidRPr="005767EF">
        <w:rPr>
          <w:rFonts w:asciiTheme="minorHAnsi" w:eastAsiaTheme="minorHAnsi" w:hAnsiTheme="minorHAnsi"/>
          <w:color w:val="auto"/>
          <w:sz w:val="20"/>
          <w:szCs w:val="20"/>
          <w:lang w:val="sr-Cyrl-BA" w:eastAsia="en-US"/>
        </w:rPr>
        <w:t>хартије од вриједности</w:t>
      </w:r>
      <w:r w:rsidR="0066471A">
        <w:rPr>
          <w:rFonts w:asciiTheme="minorHAnsi" w:eastAsiaTheme="minorHAnsi" w:hAnsiTheme="minorHAnsi"/>
          <w:color w:val="auto"/>
          <w:sz w:val="20"/>
          <w:szCs w:val="20"/>
          <w:lang w:val="sr-Cyrl-BA" w:eastAsia="en-US"/>
        </w:rPr>
        <w:t>, те је на дан 31.12.2023. године више</w:t>
      </w:r>
      <w:r>
        <w:rPr>
          <w:rFonts w:asciiTheme="minorHAnsi" w:eastAsiaTheme="minorHAnsi" w:hAnsiTheme="minorHAnsi"/>
          <w:color w:val="auto"/>
          <w:sz w:val="20"/>
          <w:szCs w:val="20"/>
          <w:lang w:val="sr-Cyrl-BA" w:eastAsia="en-US"/>
        </w:rPr>
        <w:t xml:space="preserve"> од половине новча</w:t>
      </w:r>
      <w:r w:rsidR="0066471A">
        <w:rPr>
          <w:rFonts w:asciiTheme="minorHAnsi" w:eastAsiaTheme="minorHAnsi" w:hAnsiTheme="minorHAnsi"/>
          <w:color w:val="auto"/>
          <w:sz w:val="20"/>
          <w:szCs w:val="20"/>
          <w:lang w:val="sr-Cyrl-BA" w:eastAsia="en-US"/>
        </w:rPr>
        <w:t xml:space="preserve">них средстава Фонда </w:t>
      </w:r>
      <w:r>
        <w:rPr>
          <w:rFonts w:asciiTheme="minorHAnsi" w:eastAsiaTheme="minorHAnsi" w:hAnsiTheme="minorHAnsi"/>
          <w:color w:val="auto"/>
          <w:sz w:val="20"/>
          <w:szCs w:val="20"/>
          <w:lang w:val="sr-Cyrl-BA" w:eastAsia="en-US"/>
        </w:rPr>
        <w:t>уложен</w:t>
      </w:r>
      <w:r w:rsidR="0066471A">
        <w:rPr>
          <w:rFonts w:asciiTheme="minorHAnsi" w:eastAsiaTheme="minorHAnsi" w:hAnsiTheme="minorHAnsi"/>
          <w:color w:val="auto"/>
          <w:sz w:val="20"/>
          <w:szCs w:val="20"/>
          <w:lang w:val="sr-Cyrl-BA" w:eastAsia="en-US"/>
        </w:rPr>
        <w:t>о</w:t>
      </w:r>
      <w:r>
        <w:rPr>
          <w:rFonts w:asciiTheme="minorHAnsi" w:eastAsiaTheme="minorHAnsi" w:hAnsiTheme="minorHAnsi"/>
          <w:color w:val="auto"/>
          <w:sz w:val="20"/>
          <w:szCs w:val="20"/>
          <w:lang w:val="sr-Cyrl-BA" w:eastAsia="en-US"/>
        </w:rPr>
        <w:t xml:space="preserve"> у </w:t>
      </w:r>
      <w:r w:rsidR="0066471A">
        <w:rPr>
          <w:rFonts w:asciiTheme="minorHAnsi" w:eastAsiaTheme="minorHAnsi" w:hAnsiTheme="minorHAnsi"/>
          <w:color w:val="auto"/>
          <w:sz w:val="20"/>
          <w:szCs w:val="20"/>
          <w:lang w:val="sr-Cyrl-BA" w:eastAsia="en-US"/>
        </w:rPr>
        <w:t>обвезнице различитих емитената, гдје су на првом мјесту обвезнице Републике Српске</w:t>
      </w:r>
      <w:r>
        <w:rPr>
          <w:rFonts w:asciiTheme="minorHAnsi" w:eastAsiaTheme="minorHAnsi" w:hAnsiTheme="minorHAnsi"/>
          <w:color w:val="auto"/>
          <w:sz w:val="20"/>
          <w:szCs w:val="20"/>
          <w:lang w:val="sr-Cyrl-BA" w:eastAsia="en-US"/>
        </w:rPr>
        <w:t xml:space="preserve">. </w:t>
      </w:r>
      <w:r w:rsidR="00A23BC7">
        <w:rPr>
          <w:rFonts w:asciiTheme="minorHAnsi" w:eastAsia="Calibri" w:hAnsiTheme="minorHAnsi"/>
          <w:color w:val="auto"/>
          <w:sz w:val="20"/>
          <w:szCs w:val="20"/>
          <w:lang w:val="sr-Cyrl-RS" w:eastAsia="en-US"/>
        </w:rPr>
        <w:t xml:space="preserve">Мањи дио средстава је у виду орочених </w:t>
      </w:r>
      <w:r>
        <w:rPr>
          <w:rFonts w:asciiTheme="minorHAnsi" w:eastAsia="Calibri" w:hAnsiTheme="minorHAnsi"/>
          <w:color w:val="auto"/>
          <w:sz w:val="20"/>
          <w:szCs w:val="20"/>
          <w:lang w:val="sr-Cyrl-RS" w:eastAsia="en-US"/>
        </w:rPr>
        <w:t>депозит</w:t>
      </w:r>
      <w:r w:rsidR="008C6F9F">
        <w:rPr>
          <w:rFonts w:asciiTheme="minorHAnsi" w:eastAsia="Calibri" w:hAnsiTheme="minorHAnsi"/>
          <w:color w:val="auto"/>
          <w:sz w:val="20"/>
          <w:szCs w:val="20"/>
          <w:lang w:val="sr-Cyrl-RS" w:eastAsia="en-US"/>
        </w:rPr>
        <w:t>а</w:t>
      </w:r>
      <w:r>
        <w:rPr>
          <w:rFonts w:asciiTheme="minorHAnsi" w:eastAsia="Calibri" w:hAnsiTheme="minorHAnsi"/>
          <w:color w:val="auto"/>
          <w:sz w:val="20"/>
          <w:szCs w:val="20"/>
          <w:lang w:val="sr-Cyrl-RS" w:eastAsia="en-US"/>
        </w:rPr>
        <w:t xml:space="preserve">, </w:t>
      </w:r>
      <w:r w:rsidR="008C6F9F">
        <w:rPr>
          <w:rFonts w:asciiTheme="minorHAnsi" w:eastAsia="Calibri" w:hAnsiTheme="minorHAnsi"/>
          <w:color w:val="auto"/>
          <w:sz w:val="20"/>
          <w:szCs w:val="20"/>
          <w:lang w:val="sr-Cyrl-RS" w:eastAsia="en-US"/>
        </w:rPr>
        <w:t>док се преостали дио средстава налази на жиро рачунима Фонда.</w:t>
      </w:r>
      <w:r w:rsidR="008C6F9F" w:rsidRPr="007259AE">
        <w:rPr>
          <w:rFonts w:asciiTheme="minorHAnsi" w:eastAsia="Calibri" w:hAnsiTheme="minorHAnsi"/>
          <w:color w:val="auto"/>
          <w:sz w:val="20"/>
          <w:szCs w:val="20"/>
          <w:lang w:val="sr-Cyrl-RS" w:eastAsia="en-US"/>
        </w:rPr>
        <w:t xml:space="preserve"> </w:t>
      </w:r>
      <w:r>
        <w:rPr>
          <w:rFonts w:asciiTheme="minorHAnsi" w:eastAsia="Calibri" w:hAnsiTheme="minorHAnsi"/>
          <w:color w:val="auto"/>
          <w:sz w:val="20"/>
          <w:szCs w:val="20"/>
          <w:lang w:val="sr-Cyrl-RS" w:eastAsia="en-US"/>
        </w:rPr>
        <w:t xml:space="preserve">Посебан дио средстава се налази у групи „остали пласмани“, </w:t>
      </w:r>
      <w:r w:rsidR="0066471A">
        <w:rPr>
          <w:rFonts w:asciiTheme="minorHAnsi" w:eastAsia="Calibri" w:hAnsiTheme="minorHAnsi"/>
          <w:color w:val="auto"/>
          <w:sz w:val="20"/>
          <w:szCs w:val="20"/>
          <w:lang w:val="sr-Cyrl-RS" w:eastAsia="en-US"/>
        </w:rPr>
        <w:t>који се односе</w:t>
      </w:r>
      <w:r>
        <w:rPr>
          <w:rFonts w:asciiTheme="minorHAnsi" w:eastAsia="Calibri" w:hAnsiTheme="minorHAnsi"/>
          <w:color w:val="auto"/>
          <w:sz w:val="20"/>
          <w:szCs w:val="20"/>
          <w:lang w:val="sr-Cyrl-RS" w:eastAsia="en-US"/>
        </w:rPr>
        <w:t xml:space="preserve"> на средства Фонда која се налазе на рачунима 2 банке у стечају и пласмане за извршена плаћања по гаранцијама. Табела 27 даје преглед стања и структуре пласмана Фонда на дан 31.12.2023. године.</w:t>
      </w:r>
    </w:p>
    <w:p w14:paraId="661004B7" w14:textId="77777777" w:rsidR="003E21A9" w:rsidRDefault="003E21A9" w:rsidP="008C6F9F">
      <w:pPr>
        <w:rPr>
          <w:rFonts w:asciiTheme="minorHAnsi" w:eastAsia="Calibri" w:hAnsiTheme="minorHAnsi"/>
          <w:color w:val="auto"/>
          <w:sz w:val="20"/>
          <w:szCs w:val="20"/>
          <w:lang w:val="sr-Cyrl-RS" w:eastAsia="en-US"/>
        </w:rPr>
      </w:pPr>
    </w:p>
    <w:p w14:paraId="0F91D2C0" w14:textId="77777777" w:rsidR="001538EF" w:rsidRPr="005767EF" w:rsidRDefault="001538EF" w:rsidP="003E21A9">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стања</w:t>
      </w:r>
      <w:r w:rsidR="003E21A9">
        <w:rPr>
          <w:rFonts w:asciiTheme="minorHAnsi" w:hAnsiTheme="minorHAnsi"/>
          <w:b/>
          <w:sz w:val="20"/>
          <w:szCs w:val="20"/>
          <w:lang w:val="sr-Cyrl-CS" w:eastAsia="sr-Cyrl-CS"/>
        </w:rPr>
        <w:t xml:space="preserve"> и структуре</w:t>
      </w:r>
      <w:r w:rsidRPr="005767EF">
        <w:rPr>
          <w:rFonts w:asciiTheme="minorHAnsi" w:hAnsiTheme="minorHAnsi"/>
          <w:b/>
          <w:sz w:val="20"/>
          <w:szCs w:val="20"/>
          <w:lang w:val="sr-Cyrl-CS" w:eastAsia="sr-Cyrl-CS"/>
        </w:rPr>
        <w:t xml:space="preserve"> слободних новчаних средстава на дан 31.12.202</w:t>
      </w:r>
      <w:r w:rsidR="000B3AEA">
        <w:rPr>
          <w:rFonts w:asciiTheme="minorHAnsi" w:hAnsiTheme="minorHAnsi"/>
          <w:b/>
          <w:sz w:val="20"/>
          <w:szCs w:val="20"/>
          <w:lang w:val="sr-Cyrl-CS" w:eastAsia="sr-Cyrl-CS"/>
        </w:rPr>
        <w:t>3</w:t>
      </w:r>
      <w:r w:rsidRPr="005767EF">
        <w:rPr>
          <w:rFonts w:asciiTheme="minorHAnsi" w:hAnsiTheme="minorHAnsi"/>
          <w:b/>
          <w:sz w:val="20"/>
          <w:szCs w:val="20"/>
          <w:lang w:val="sr-Cyrl-CS" w:eastAsia="sr-Cyrl-CS"/>
        </w:rPr>
        <w:t>. године</w:t>
      </w:r>
    </w:p>
    <w:p w14:paraId="684EC34C" w14:textId="77777777" w:rsidR="001538EF" w:rsidRPr="005767EF" w:rsidRDefault="001538EF" w:rsidP="001538EF">
      <w:pPr>
        <w:jc w:val="left"/>
        <w:rPr>
          <w:rFonts w:asciiTheme="minorHAnsi" w:hAnsiTheme="minorHAnsi"/>
          <w:b/>
          <w:sz w:val="20"/>
          <w:szCs w:val="20"/>
          <w:lang w:val="sr-Cyrl-CS" w:eastAsia="sr-Cyrl-CS"/>
        </w:rPr>
      </w:pPr>
    </w:p>
    <w:p w14:paraId="30A7399D" w14:textId="77777777"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sidR="000401FD">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r w:rsidR="000401FD">
        <w:rPr>
          <w:rFonts w:asciiTheme="minorHAnsi" w:eastAsia="Calibri" w:hAnsiTheme="minorHAnsi"/>
          <w:b/>
          <w:color w:val="auto"/>
          <w:sz w:val="20"/>
          <w:szCs w:val="20"/>
          <w:lang w:val="sr-Cyrl-BA" w:eastAsia="en-US"/>
        </w:rPr>
        <w:t>Табела 27</w:t>
      </w:r>
    </w:p>
    <w:tbl>
      <w:tblPr>
        <w:tblW w:w="8804" w:type="dxa"/>
        <w:tblInd w:w="93" w:type="dxa"/>
        <w:tblLook w:val="04A0" w:firstRow="1" w:lastRow="0" w:firstColumn="1" w:lastColumn="0" w:noHBand="0" w:noVBand="1"/>
      </w:tblPr>
      <w:tblGrid>
        <w:gridCol w:w="2620"/>
        <w:gridCol w:w="2040"/>
        <w:gridCol w:w="1700"/>
        <w:gridCol w:w="1200"/>
        <w:gridCol w:w="1244"/>
      </w:tblGrid>
      <w:tr w:rsidR="003E21A9" w:rsidRPr="003E21A9" w14:paraId="68B7A408" w14:textId="77777777" w:rsidTr="003E21A9">
        <w:trPr>
          <w:trHeight w:val="510"/>
        </w:trPr>
        <w:tc>
          <w:tcPr>
            <w:tcW w:w="2620"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14:paraId="1A5A114E"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 xml:space="preserve">Врста пласмана </w:t>
            </w:r>
          </w:p>
        </w:tc>
        <w:tc>
          <w:tcPr>
            <w:tcW w:w="2040" w:type="dxa"/>
            <w:tcBorders>
              <w:top w:val="single" w:sz="4" w:space="0" w:color="auto"/>
              <w:left w:val="nil"/>
              <w:bottom w:val="single" w:sz="4" w:space="0" w:color="auto"/>
              <w:right w:val="single" w:sz="4" w:space="0" w:color="auto"/>
            </w:tcBorders>
            <w:shd w:val="clear" w:color="000000" w:fill="8DB3E2"/>
            <w:vAlign w:val="center"/>
            <w:hideMark/>
          </w:tcPr>
          <w:p w14:paraId="0C56ABF0"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Стање на дан 31.12.2022.</w:t>
            </w:r>
          </w:p>
        </w:tc>
        <w:tc>
          <w:tcPr>
            <w:tcW w:w="1700" w:type="dxa"/>
            <w:tcBorders>
              <w:top w:val="single" w:sz="4" w:space="0" w:color="auto"/>
              <w:left w:val="nil"/>
              <w:bottom w:val="single" w:sz="4" w:space="0" w:color="auto"/>
              <w:right w:val="single" w:sz="4" w:space="0" w:color="auto"/>
            </w:tcBorders>
            <w:shd w:val="clear" w:color="000000" w:fill="8DB3E2"/>
            <w:vAlign w:val="center"/>
            <w:hideMark/>
          </w:tcPr>
          <w:p w14:paraId="740EDE6A"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Стање на дан 31.12.2023.</w:t>
            </w:r>
          </w:p>
        </w:tc>
        <w:tc>
          <w:tcPr>
            <w:tcW w:w="1200" w:type="dxa"/>
            <w:tcBorders>
              <w:top w:val="single" w:sz="4" w:space="0" w:color="auto"/>
              <w:left w:val="nil"/>
              <w:bottom w:val="single" w:sz="4" w:space="0" w:color="auto"/>
              <w:right w:val="single" w:sz="4" w:space="0" w:color="auto"/>
            </w:tcBorders>
            <w:shd w:val="clear" w:color="000000" w:fill="8DB3E2"/>
            <w:vAlign w:val="center"/>
            <w:hideMark/>
          </w:tcPr>
          <w:p w14:paraId="79778C9A"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 xml:space="preserve">Индекс </w:t>
            </w:r>
          </w:p>
        </w:tc>
        <w:tc>
          <w:tcPr>
            <w:tcW w:w="1244" w:type="dxa"/>
            <w:tcBorders>
              <w:top w:val="single" w:sz="4" w:space="0" w:color="auto"/>
              <w:left w:val="nil"/>
              <w:bottom w:val="single" w:sz="4" w:space="0" w:color="auto"/>
              <w:right w:val="single" w:sz="4" w:space="0" w:color="auto"/>
            </w:tcBorders>
            <w:shd w:val="clear" w:color="000000" w:fill="8DB3E2"/>
            <w:vAlign w:val="center"/>
            <w:hideMark/>
          </w:tcPr>
          <w:p w14:paraId="7A59F923"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Структура</w:t>
            </w:r>
          </w:p>
        </w:tc>
      </w:tr>
      <w:tr w:rsidR="003E21A9" w:rsidRPr="003E21A9" w14:paraId="4040AC5B"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681CAB88" w14:textId="77777777" w:rsidR="003E21A9" w:rsidRPr="003E21A9" w:rsidRDefault="003E21A9" w:rsidP="003E21A9">
            <w:pPr>
              <w:jc w:val="left"/>
              <w:rPr>
                <w:rFonts w:ascii="Calibri" w:hAnsi="Calibri"/>
                <w:sz w:val="20"/>
                <w:szCs w:val="20"/>
              </w:rPr>
            </w:pPr>
            <w:r w:rsidRPr="003E21A9">
              <w:rPr>
                <w:rFonts w:ascii="Calibri" w:hAnsi="Calibri"/>
                <w:sz w:val="20"/>
                <w:szCs w:val="20"/>
              </w:rPr>
              <w:t>Жиро рачуни Фонда</w:t>
            </w:r>
          </w:p>
        </w:tc>
        <w:tc>
          <w:tcPr>
            <w:tcW w:w="2040" w:type="dxa"/>
            <w:tcBorders>
              <w:top w:val="nil"/>
              <w:left w:val="nil"/>
              <w:bottom w:val="single" w:sz="4" w:space="0" w:color="auto"/>
              <w:right w:val="single" w:sz="4" w:space="0" w:color="auto"/>
            </w:tcBorders>
            <w:shd w:val="clear" w:color="auto" w:fill="auto"/>
            <w:noWrap/>
            <w:vAlign w:val="center"/>
            <w:hideMark/>
          </w:tcPr>
          <w:p w14:paraId="2EED7E70" w14:textId="77777777" w:rsidR="003E21A9" w:rsidRPr="003E21A9" w:rsidRDefault="003E21A9" w:rsidP="003E21A9">
            <w:pPr>
              <w:jc w:val="right"/>
              <w:rPr>
                <w:rFonts w:ascii="Calibri" w:hAnsi="Calibri"/>
                <w:sz w:val="20"/>
                <w:szCs w:val="20"/>
              </w:rPr>
            </w:pPr>
            <w:r w:rsidRPr="003E21A9">
              <w:rPr>
                <w:rFonts w:ascii="Calibri" w:hAnsi="Calibri"/>
                <w:sz w:val="20"/>
                <w:szCs w:val="20"/>
              </w:rPr>
              <w:t>1.385.215,51</w:t>
            </w:r>
          </w:p>
        </w:tc>
        <w:tc>
          <w:tcPr>
            <w:tcW w:w="1700" w:type="dxa"/>
            <w:tcBorders>
              <w:top w:val="nil"/>
              <w:left w:val="nil"/>
              <w:bottom w:val="single" w:sz="4" w:space="0" w:color="auto"/>
              <w:right w:val="single" w:sz="4" w:space="0" w:color="auto"/>
            </w:tcBorders>
            <w:shd w:val="clear" w:color="auto" w:fill="auto"/>
            <w:vAlign w:val="center"/>
            <w:hideMark/>
          </w:tcPr>
          <w:p w14:paraId="68185618"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853.712,34</w:t>
            </w:r>
          </w:p>
        </w:tc>
        <w:tc>
          <w:tcPr>
            <w:tcW w:w="1200" w:type="dxa"/>
            <w:tcBorders>
              <w:top w:val="nil"/>
              <w:left w:val="nil"/>
              <w:bottom w:val="single" w:sz="4" w:space="0" w:color="auto"/>
              <w:right w:val="single" w:sz="4" w:space="0" w:color="auto"/>
            </w:tcBorders>
            <w:shd w:val="clear" w:color="auto" w:fill="auto"/>
            <w:vAlign w:val="center"/>
            <w:hideMark/>
          </w:tcPr>
          <w:p w14:paraId="08ABB488"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61,63</w:t>
            </w:r>
          </w:p>
        </w:tc>
        <w:tc>
          <w:tcPr>
            <w:tcW w:w="1244" w:type="dxa"/>
            <w:tcBorders>
              <w:top w:val="nil"/>
              <w:left w:val="nil"/>
              <w:bottom w:val="single" w:sz="4" w:space="0" w:color="auto"/>
              <w:right w:val="single" w:sz="4" w:space="0" w:color="auto"/>
            </w:tcBorders>
            <w:shd w:val="clear" w:color="auto" w:fill="auto"/>
            <w:noWrap/>
            <w:vAlign w:val="bottom"/>
            <w:hideMark/>
          </w:tcPr>
          <w:p w14:paraId="3E3988C4" w14:textId="77777777" w:rsidR="003E21A9" w:rsidRPr="003E21A9" w:rsidRDefault="003E21A9" w:rsidP="003E21A9">
            <w:pPr>
              <w:jc w:val="right"/>
              <w:rPr>
                <w:rFonts w:ascii="Calibri" w:hAnsi="Calibri"/>
                <w:sz w:val="20"/>
                <w:szCs w:val="20"/>
              </w:rPr>
            </w:pPr>
            <w:r w:rsidRPr="003E21A9">
              <w:rPr>
                <w:rFonts w:ascii="Calibri" w:hAnsi="Calibri"/>
                <w:sz w:val="20"/>
                <w:szCs w:val="20"/>
              </w:rPr>
              <w:t>4,34%</w:t>
            </w:r>
          </w:p>
        </w:tc>
      </w:tr>
      <w:tr w:rsidR="003E21A9" w:rsidRPr="003E21A9" w14:paraId="7CF009A4"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0C210125" w14:textId="77777777" w:rsidR="003E21A9" w:rsidRPr="003E21A9" w:rsidRDefault="003E21A9" w:rsidP="003E21A9">
            <w:pPr>
              <w:jc w:val="left"/>
              <w:rPr>
                <w:rFonts w:ascii="Calibri" w:hAnsi="Calibri"/>
                <w:sz w:val="20"/>
                <w:szCs w:val="20"/>
              </w:rPr>
            </w:pPr>
            <w:r w:rsidRPr="003E21A9">
              <w:rPr>
                <w:rFonts w:ascii="Calibri" w:hAnsi="Calibri"/>
                <w:sz w:val="20"/>
                <w:szCs w:val="20"/>
                <w:lang w:val="sr-Cyrl-BA"/>
              </w:rPr>
              <w:t>Орочена штедња</w:t>
            </w:r>
          </w:p>
        </w:tc>
        <w:tc>
          <w:tcPr>
            <w:tcW w:w="2040" w:type="dxa"/>
            <w:tcBorders>
              <w:top w:val="nil"/>
              <w:left w:val="nil"/>
              <w:bottom w:val="single" w:sz="4" w:space="0" w:color="auto"/>
              <w:right w:val="single" w:sz="4" w:space="0" w:color="auto"/>
            </w:tcBorders>
            <w:shd w:val="clear" w:color="auto" w:fill="auto"/>
            <w:noWrap/>
            <w:vAlign w:val="center"/>
            <w:hideMark/>
          </w:tcPr>
          <w:p w14:paraId="69359300"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600.000,00</w:t>
            </w:r>
          </w:p>
        </w:tc>
        <w:tc>
          <w:tcPr>
            <w:tcW w:w="1700" w:type="dxa"/>
            <w:tcBorders>
              <w:top w:val="nil"/>
              <w:left w:val="nil"/>
              <w:bottom w:val="single" w:sz="4" w:space="0" w:color="auto"/>
              <w:right w:val="single" w:sz="4" w:space="0" w:color="auto"/>
            </w:tcBorders>
            <w:shd w:val="clear" w:color="auto" w:fill="auto"/>
            <w:vAlign w:val="center"/>
            <w:hideMark/>
          </w:tcPr>
          <w:p w14:paraId="4755476F"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100.000,00</w:t>
            </w:r>
          </w:p>
        </w:tc>
        <w:tc>
          <w:tcPr>
            <w:tcW w:w="1200" w:type="dxa"/>
            <w:tcBorders>
              <w:top w:val="nil"/>
              <w:left w:val="nil"/>
              <w:bottom w:val="single" w:sz="4" w:space="0" w:color="auto"/>
              <w:right w:val="single" w:sz="4" w:space="0" w:color="auto"/>
            </w:tcBorders>
            <w:shd w:val="clear" w:color="auto" w:fill="auto"/>
            <w:vAlign w:val="center"/>
            <w:hideMark/>
          </w:tcPr>
          <w:p w14:paraId="2DA23E66"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16,67</w:t>
            </w:r>
          </w:p>
        </w:tc>
        <w:tc>
          <w:tcPr>
            <w:tcW w:w="1244" w:type="dxa"/>
            <w:tcBorders>
              <w:top w:val="nil"/>
              <w:left w:val="nil"/>
              <w:bottom w:val="single" w:sz="4" w:space="0" w:color="auto"/>
              <w:right w:val="single" w:sz="4" w:space="0" w:color="auto"/>
            </w:tcBorders>
            <w:shd w:val="clear" w:color="auto" w:fill="auto"/>
            <w:noWrap/>
            <w:vAlign w:val="bottom"/>
            <w:hideMark/>
          </w:tcPr>
          <w:p w14:paraId="44409710" w14:textId="77777777" w:rsidR="003E21A9" w:rsidRPr="003E21A9" w:rsidRDefault="003E21A9" w:rsidP="003E21A9">
            <w:pPr>
              <w:jc w:val="right"/>
              <w:rPr>
                <w:rFonts w:ascii="Calibri" w:hAnsi="Calibri"/>
                <w:sz w:val="20"/>
                <w:szCs w:val="20"/>
              </w:rPr>
            </w:pPr>
            <w:r w:rsidRPr="003E21A9">
              <w:rPr>
                <w:rFonts w:ascii="Calibri" w:hAnsi="Calibri"/>
                <w:sz w:val="20"/>
                <w:szCs w:val="20"/>
              </w:rPr>
              <w:t>0,51%</w:t>
            </w:r>
          </w:p>
        </w:tc>
      </w:tr>
      <w:tr w:rsidR="003E21A9" w:rsidRPr="003E21A9" w14:paraId="44EAC6DD"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1FAEC7B3" w14:textId="77777777" w:rsidR="003E21A9" w:rsidRPr="003E21A9" w:rsidRDefault="003E21A9" w:rsidP="003E21A9">
            <w:pPr>
              <w:jc w:val="left"/>
              <w:rPr>
                <w:rFonts w:ascii="Calibri" w:hAnsi="Calibri"/>
                <w:sz w:val="20"/>
                <w:szCs w:val="20"/>
              </w:rPr>
            </w:pPr>
            <w:r w:rsidRPr="003E21A9">
              <w:rPr>
                <w:rFonts w:ascii="Calibri" w:hAnsi="Calibri"/>
                <w:sz w:val="20"/>
                <w:szCs w:val="20"/>
              </w:rPr>
              <w:t>Улагања у дужничке ХОВ</w:t>
            </w:r>
          </w:p>
        </w:tc>
        <w:tc>
          <w:tcPr>
            <w:tcW w:w="2040" w:type="dxa"/>
            <w:tcBorders>
              <w:top w:val="nil"/>
              <w:left w:val="nil"/>
              <w:bottom w:val="single" w:sz="4" w:space="0" w:color="auto"/>
              <w:right w:val="single" w:sz="4" w:space="0" w:color="auto"/>
            </w:tcBorders>
            <w:shd w:val="clear" w:color="auto" w:fill="auto"/>
            <w:noWrap/>
            <w:vAlign w:val="center"/>
            <w:hideMark/>
          </w:tcPr>
          <w:p w14:paraId="0F2FDFE5" w14:textId="77777777" w:rsidR="003E21A9" w:rsidRPr="003E21A9" w:rsidRDefault="003E21A9" w:rsidP="003E21A9">
            <w:pPr>
              <w:jc w:val="right"/>
              <w:rPr>
                <w:rFonts w:ascii="Calibri" w:hAnsi="Calibri"/>
                <w:sz w:val="20"/>
                <w:szCs w:val="20"/>
              </w:rPr>
            </w:pPr>
            <w:r w:rsidRPr="003E21A9">
              <w:rPr>
                <w:rFonts w:ascii="Calibri" w:hAnsi="Calibri"/>
                <w:sz w:val="20"/>
                <w:szCs w:val="20"/>
              </w:rPr>
              <w:t>11.287.749,60</w:t>
            </w:r>
          </w:p>
        </w:tc>
        <w:tc>
          <w:tcPr>
            <w:tcW w:w="1700" w:type="dxa"/>
            <w:tcBorders>
              <w:top w:val="nil"/>
              <w:left w:val="nil"/>
              <w:bottom w:val="single" w:sz="4" w:space="0" w:color="auto"/>
              <w:right w:val="single" w:sz="4" w:space="0" w:color="auto"/>
            </w:tcBorders>
            <w:shd w:val="clear" w:color="auto" w:fill="auto"/>
            <w:vAlign w:val="center"/>
            <w:hideMark/>
          </w:tcPr>
          <w:p w14:paraId="3AACFAB5"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11.506.846,34</w:t>
            </w:r>
          </w:p>
        </w:tc>
        <w:tc>
          <w:tcPr>
            <w:tcW w:w="1200" w:type="dxa"/>
            <w:tcBorders>
              <w:top w:val="nil"/>
              <w:left w:val="nil"/>
              <w:bottom w:val="single" w:sz="4" w:space="0" w:color="auto"/>
              <w:right w:val="single" w:sz="4" w:space="0" w:color="auto"/>
            </w:tcBorders>
            <w:shd w:val="clear" w:color="auto" w:fill="auto"/>
            <w:vAlign w:val="center"/>
            <w:hideMark/>
          </w:tcPr>
          <w:p w14:paraId="191AB32B"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101,94</w:t>
            </w:r>
          </w:p>
        </w:tc>
        <w:tc>
          <w:tcPr>
            <w:tcW w:w="1244" w:type="dxa"/>
            <w:tcBorders>
              <w:top w:val="nil"/>
              <w:left w:val="nil"/>
              <w:bottom w:val="single" w:sz="4" w:space="0" w:color="auto"/>
              <w:right w:val="single" w:sz="4" w:space="0" w:color="auto"/>
            </w:tcBorders>
            <w:shd w:val="clear" w:color="auto" w:fill="auto"/>
            <w:noWrap/>
            <w:vAlign w:val="bottom"/>
            <w:hideMark/>
          </w:tcPr>
          <w:p w14:paraId="3058420D" w14:textId="77777777" w:rsidR="003E21A9" w:rsidRPr="003E21A9" w:rsidRDefault="003E21A9" w:rsidP="003E21A9">
            <w:pPr>
              <w:jc w:val="right"/>
              <w:rPr>
                <w:rFonts w:ascii="Calibri" w:hAnsi="Calibri"/>
                <w:sz w:val="20"/>
                <w:szCs w:val="20"/>
              </w:rPr>
            </w:pPr>
            <w:r w:rsidRPr="003E21A9">
              <w:rPr>
                <w:rFonts w:ascii="Calibri" w:hAnsi="Calibri"/>
                <w:sz w:val="20"/>
                <w:szCs w:val="20"/>
              </w:rPr>
              <w:t>58,48%</w:t>
            </w:r>
          </w:p>
        </w:tc>
      </w:tr>
      <w:tr w:rsidR="003E21A9" w:rsidRPr="003E21A9" w14:paraId="6ECB2704"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7DDBD377" w14:textId="77777777" w:rsidR="003E21A9" w:rsidRPr="003E21A9" w:rsidRDefault="003E21A9" w:rsidP="003E21A9">
            <w:pPr>
              <w:jc w:val="left"/>
              <w:rPr>
                <w:rFonts w:ascii="Calibri" w:hAnsi="Calibri"/>
                <w:sz w:val="20"/>
                <w:szCs w:val="20"/>
              </w:rPr>
            </w:pPr>
            <w:r w:rsidRPr="003E21A9">
              <w:rPr>
                <w:rFonts w:ascii="Calibri" w:hAnsi="Calibri"/>
                <w:sz w:val="20"/>
                <w:szCs w:val="20"/>
              </w:rPr>
              <w:t xml:space="preserve">Остали пласмани </w:t>
            </w:r>
          </w:p>
        </w:tc>
        <w:tc>
          <w:tcPr>
            <w:tcW w:w="2040" w:type="dxa"/>
            <w:tcBorders>
              <w:top w:val="nil"/>
              <w:left w:val="nil"/>
              <w:bottom w:val="single" w:sz="4" w:space="0" w:color="auto"/>
              <w:right w:val="single" w:sz="4" w:space="0" w:color="auto"/>
            </w:tcBorders>
            <w:shd w:val="clear" w:color="auto" w:fill="auto"/>
            <w:noWrap/>
            <w:vAlign w:val="center"/>
            <w:hideMark/>
          </w:tcPr>
          <w:p w14:paraId="754C6B7F"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7.315.476,81</w:t>
            </w:r>
          </w:p>
        </w:tc>
        <w:tc>
          <w:tcPr>
            <w:tcW w:w="1700" w:type="dxa"/>
            <w:tcBorders>
              <w:top w:val="nil"/>
              <w:left w:val="nil"/>
              <w:bottom w:val="single" w:sz="4" w:space="0" w:color="auto"/>
              <w:right w:val="single" w:sz="4" w:space="0" w:color="auto"/>
            </w:tcBorders>
            <w:shd w:val="clear" w:color="auto" w:fill="auto"/>
            <w:vAlign w:val="center"/>
            <w:hideMark/>
          </w:tcPr>
          <w:p w14:paraId="0FC4DD4D"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7.216.790,89</w:t>
            </w:r>
          </w:p>
        </w:tc>
        <w:tc>
          <w:tcPr>
            <w:tcW w:w="1200" w:type="dxa"/>
            <w:tcBorders>
              <w:top w:val="nil"/>
              <w:left w:val="nil"/>
              <w:bottom w:val="single" w:sz="4" w:space="0" w:color="auto"/>
              <w:right w:val="single" w:sz="4" w:space="0" w:color="auto"/>
            </w:tcBorders>
            <w:shd w:val="clear" w:color="auto" w:fill="auto"/>
            <w:vAlign w:val="center"/>
            <w:hideMark/>
          </w:tcPr>
          <w:p w14:paraId="0E6A97AF" w14:textId="77777777" w:rsidR="003E21A9" w:rsidRPr="003E21A9" w:rsidRDefault="003E21A9" w:rsidP="003E21A9">
            <w:pPr>
              <w:jc w:val="right"/>
              <w:rPr>
                <w:rFonts w:ascii="Calibri" w:hAnsi="Calibri"/>
                <w:sz w:val="20"/>
                <w:szCs w:val="20"/>
              </w:rPr>
            </w:pPr>
            <w:r w:rsidRPr="003E21A9">
              <w:rPr>
                <w:rFonts w:ascii="Calibri" w:hAnsi="Calibri"/>
                <w:sz w:val="20"/>
                <w:szCs w:val="20"/>
                <w:lang w:val="sr-Cyrl-BA"/>
              </w:rPr>
              <w:t>98,65</w:t>
            </w:r>
          </w:p>
        </w:tc>
        <w:tc>
          <w:tcPr>
            <w:tcW w:w="1244" w:type="dxa"/>
            <w:tcBorders>
              <w:top w:val="nil"/>
              <w:left w:val="nil"/>
              <w:bottom w:val="single" w:sz="4" w:space="0" w:color="auto"/>
              <w:right w:val="single" w:sz="4" w:space="0" w:color="auto"/>
            </w:tcBorders>
            <w:shd w:val="clear" w:color="auto" w:fill="auto"/>
            <w:noWrap/>
            <w:vAlign w:val="bottom"/>
            <w:hideMark/>
          </w:tcPr>
          <w:p w14:paraId="2A49DDB5" w14:textId="77777777" w:rsidR="003E21A9" w:rsidRPr="003E21A9" w:rsidRDefault="003E21A9" w:rsidP="003E21A9">
            <w:pPr>
              <w:jc w:val="right"/>
              <w:rPr>
                <w:rFonts w:ascii="Calibri" w:hAnsi="Calibri"/>
                <w:sz w:val="20"/>
                <w:szCs w:val="20"/>
              </w:rPr>
            </w:pPr>
            <w:r w:rsidRPr="003E21A9">
              <w:rPr>
                <w:rFonts w:ascii="Calibri" w:hAnsi="Calibri"/>
                <w:sz w:val="20"/>
                <w:szCs w:val="20"/>
              </w:rPr>
              <w:t>36,68%</w:t>
            </w:r>
          </w:p>
        </w:tc>
      </w:tr>
      <w:tr w:rsidR="003E21A9" w:rsidRPr="003E21A9" w14:paraId="2CD60A2B" w14:textId="77777777" w:rsidTr="003E21A9">
        <w:trPr>
          <w:trHeight w:val="315"/>
        </w:trPr>
        <w:tc>
          <w:tcPr>
            <w:tcW w:w="2620" w:type="dxa"/>
            <w:tcBorders>
              <w:top w:val="nil"/>
              <w:left w:val="single" w:sz="4" w:space="0" w:color="auto"/>
              <w:bottom w:val="single" w:sz="4" w:space="0" w:color="auto"/>
              <w:right w:val="single" w:sz="4" w:space="0" w:color="auto"/>
            </w:tcBorders>
            <w:shd w:val="clear" w:color="000000" w:fill="8DB3E2"/>
            <w:noWrap/>
            <w:vAlign w:val="center"/>
            <w:hideMark/>
          </w:tcPr>
          <w:p w14:paraId="02A4C27D" w14:textId="393DFB5F" w:rsidR="003E21A9" w:rsidRPr="003E21A9" w:rsidRDefault="003E21A9" w:rsidP="003E21A9">
            <w:pPr>
              <w:jc w:val="left"/>
              <w:rPr>
                <w:rFonts w:ascii="Calibri" w:hAnsi="Calibri"/>
                <w:b/>
                <w:bCs/>
                <w:sz w:val="20"/>
                <w:szCs w:val="20"/>
              </w:rPr>
            </w:pPr>
            <w:r w:rsidRPr="003E21A9">
              <w:rPr>
                <w:rFonts w:ascii="Calibri" w:hAnsi="Calibri"/>
                <w:b/>
                <w:bCs/>
                <w:sz w:val="20"/>
                <w:szCs w:val="20"/>
                <w:lang w:val="sr-Cyrl-BA"/>
              </w:rPr>
              <w:t xml:space="preserve">Свеукупно </w:t>
            </w:r>
          </w:p>
        </w:tc>
        <w:tc>
          <w:tcPr>
            <w:tcW w:w="2040" w:type="dxa"/>
            <w:tcBorders>
              <w:top w:val="nil"/>
              <w:left w:val="nil"/>
              <w:bottom w:val="single" w:sz="4" w:space="0" w:color="auto"/>
              <w:right w:val="single" w:sz="4" w:space="0" w:color="auto"/>
            </w:tcBorders>
            <w:shd w:val="clear" w:color="000000" w:fill="8DB3E2"/>
            <w:noWrap/>
            <w:vAlign w:val="center"/>
            <w:hideMark/>
          </w:tcPr>
          <w:p w14:paraId="05C5D69B"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lang w:val="sr-Cyrl-BA"/>
              </w:rPr>
              <w:t>20.588.441,92</w:t>
            </w:r>
          </w:p>
        </w:tc>
        <w:tc>
          <w:tcPr>
            <w:tcW w:w="1700" w:type="dxa"/>
            <w:tcBorders>
              <w:top w:val="nil"/>
              <w:left w:val="nil"/>
              <w:bottom w:val="single" w:sz="4" w:space="0" w:color="auto"/>
              <w:right w:val="single" w:sz="4" w:space="0" w:color="auto"/>
            </w:tcBorders>
            <w:shd w:val="clear" w:color="000000" w:fill="8DB3E2"/>
            <w:noWrap/>
            <w:vAlign w:val="center"/>
            <w:hideMark/>
          </w:tcPr>
          <w:p w14:paraId="11C6BDB3"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lang w:val="sr-Cyrl-BA"/>
              </w:rPr>
              <w:t>19.677.349,57</w:t>
            </w:r>
          </w:p>
        </w:tc>
        <w:tc>
          <w:tcPr>
            <w:tcW w:w="1200" w:type="dxa"/>
            <w:tcBorders>
              <w:top w:val="nil"/>
              <w:left w:val="nil"/>
              <w:bottom w:val="single" w:sz="4" w:space="0" w:color="auto"/>
              <w:right w:val="single" w:sz="4" w:space="0" w:color="auto"/>
            </w:tcBorders>
            <w:shd w:val="clear" w:color="000000" w:fill="8DB4E2"/>
            <w:vAlign w:val="center"/>
            <w:hideMark/>
          </w:tcPr>
          <w:p w14:paraId="106827C8"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lang w:val="sr-Cyrl-BA"/>
              </w:rPr>
              <w:t>95,57</w:t>
            </w:r>
          </w:p>
        </w:tc>
        <w:tc>
          <w:tcPr>
            <w:tcW w:w="1244" w:type="dxa"/>
            <w:tcBorders>
              <w:top w:val="nil"/>
              <w:left w:val="nil"/>
              <w:bottom w:val="single" w:sz="4" w:space="0" w:color="auto"/>
              <w:right w:val="single" w:sz="4" w:space="0" w:color="auto"/>
            </w:tcBorders>
            <w:shd w:val="clear" w:color="000000" w:fill="8DB4E2"/>
            <w:noWrap/>
            <w:vAlign w:val="center"/>
            <w:hideMark/>
          </w:tcPr>
          <w:p w14:paraId="06CACAE3"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rPr>
              <w:t>100,00%</w:t>
            </w:r>
          </w:p>
        </w:tc>
      </w:tr>
    </w:tbl>
    <w:p w14:paraId="2A50EF73" w14:textId="77777777" w:rsidR="001538EF" w:rsidRPr="005767EF" w:rsidRDefault="001538EF" w:rsidP="001538EF">
      <w:pPr>
        <w:jc w:val="left"/>
        <w:rPr>
          <w:rFonts w:asciiTheme="minorHAnsi" w:eastAsia="Calibri" w:hAnsiTheme="minorHAnsi"/>
          <w:color w:val="auto"/>
          <w:sz w:val="20"/>
          <w:szCs w:val="20"/>
          <w:lang w:val="en-GB" w:eastAsia="en-US"/>
        </w:rPr>
      </w:pPr>
    </w:p>
    <w:p w14:paraId="7DFEC61C" w14:textId="77777777" w:rsidR="003E21A9" w:rsidRDefault="003E21A9" w:rsidP="003E21A9">
      <w:pPr>
        <w:rPr>
          <w:rFonts w:asciiTheme="minorHAnsi" w:eastAsiaTheme="minorHAnsi" w:hAnsiTheme="minorHAnsi"/>
          <w:color w:val="auto"/>
          <w:sz w:val="20"/>
          <w:szCs w:val="20"/>
          <w:lang w:val="sr-Cyrl-BA" w:eastAsia="en-US"/>
        </w:rPr>
      </w:pPr>
      <w:r w:rsidRPr="007259AE">
        <w:rPr>
          <w:rFonts w:asciiTheme="minorHAnsi" w:eastAsia="Calibri" w:hAnsiTheme="minorHAnsi"/>
          <w:color w:val="auto"/>
          <w:sz w:val="20"/>
          <w:szCs w:val="20"/>
          <w:lang w:val="sr-Cyrl-RS" w:eastAsia="en-US"/>
        </w:rPr>
        <w:t xml:space="preserve">На дан 31.12.2023. године, средства Гарантног фонда на </w:t>
      </w:r>
      <w:r w:rsidRPr="007259AE">
        <w:rPr>
          <w:rFonts w:asciiTheme="minorHAnsi" w:eastAsiaTheme="minorHAnsi" w:hAnsiTheme="minorHAnsi"/>
          <w:color w:val="auto"/>
          <w:sz w:val="20"/>
          <w:szCs w:val="20"/>
          <w:lang w:val="sr-Cyrl-BA" w:eastAsia="en-US"/>
        </w:rPr>
        <w:t xml:space="preserve">жиро рачунима код финансијских посредника износе 853.712,34 КМ. </w:t>
      </w:r>
      <w:r>
        <w:rPr>
          <w:rFonts w:asciiTheme="minorHAnsi" w:eastAsiaTheme="minorHAnsi" w:hAnsiTheme="minorHAnsi"/>
          <w:color w:val="auto"/>
          <w:sz w:val="20"/>
          <w:szCs w:val="20"/>
          <w:lang w:val="sr-Cyrl-BA" w:eastAsia="en-US"/>
        </w:rPr>
        <w:t>Од наведеног износа, н</w:t>
      </w:r>
      <w:r w:rsidRPr="007259AE">
        <w:rPr>
          <w:rFonts w:asciiTheme="minorHAnsi" w:eastAsiaTheme="minorHAnsi" w:hAnsiTheme="minorHAnsi"/>
          <w:color w:val="auto"/>
          <w:sz w:val="20"/>
          <w:szCs w:val="20"/>
          <w:lang w:val="sr-Cyrl-BA" w:eastAsia="en-US"/>
        </w:rPr>
        <w:t xml:space="preserve">ајвећи дио </w:t>
      </w:r>
      <w:r>
        <w:rPr>
          <w:rFonts w:asciiTheme="minorHAnsi" w:eastAsiaTheme="minorHAnsi" w:hAnsiTheme="minorHAnsi"/>
          <w:color w:val="auto"/>
          <w:sz w:val="20"/>
          <w:szCs w:val="20"/>
          <w:lang w:val="sr-Cyrl-BA" w:eastAsia="en-US"/>
        </w:rPr>
        <w:t xml:space="preserve">или 681.377,62 КМ </w:t>
      </w:r>
      <w:r w:rsidRPr="007259AE">
        <w:rPr>
          <w:rFonts w:asciiTheme="minorHAnsi" w:eastAsiaTheme="minorHAnsi" w:hAnsiTheme="minorHAnsi"/>
          <w:color w:val="auto"/>
          <w:sz w:val="20"/>
          <w:szCs w:val="20"/>
          <w:lang w:val="sr-Cyrl-BA" w:eastAsia="en-US"/>
        </w:rPr>
        <w:t xml:space="preserve">се налази </w:t>
      </w:r>
      <w:r>
        <w:rPr>
          <w:rFonts w:asciiTheme="minorHAnsi" w:eastAsiaTheme="minorHAnsi" w:hAnsiTheme="minorHAnsi"/>
          <w:color w:val="auto"/>
          <w:sz w:val="20"/>
          <w:szCs w:val="20"/>
          <w:lang w:val="sr-Cyrl-BA" w:eastAsia="en-US"/>
        </w:rPr>
        <w:t xml:space="preserve">главном </w:t>
      </w:r>
      <w:r w:rsidRPr="007259AE">
        <w:rPr>
          <w:rFonts w:asciiTheme="minorHAnsi" w:eastAsiaTheme="minorHAnsi" w:hAnsiTheme="minorHAnsi"/>
          <w:color w:val="auto"/>
          <w:sz w:val="20"/>
          <w:szCs w:val="20"/>
          <w:lang w:val="sr-Cyrl-BA" w:eastAsia="en-US"/>
        </w:rPr>
        <w:t xml:space="preserve">жиро рачуну код МФ банке а.д. Бања Лука, </w:t>
      </w:r>
      <w:r>
        <w:rPr>
          <w:rFonts w:asciiTheme="minorHAnsi" w:eastAsiaTheme="minorHAnsi" w:hAnsiTheme="minorHAnsi"/>
          <w:color w:val="auto"/>
          <w:sz w:val="20"/>
          <w:szCs w:val="20"/>
          <w:lang w:val="sr-Cyrl-BA" w:eastAsia="en-US"/>
        </w:rPr>
        <w:t xml:space="preserve">преко којег се обавља већина промета током године. Фонд има само један опозиви депозит у износу од 100.000,00 КМ код Прокредит банке д.д. Сарајево. </w:t>
      </w:r>
    </w:p>
    <w:p w14:paraId="320312A0" w14:textId="77777777" w:rsidR="003E21A9" w:rsidRDefault="003E21A9" w:rsidP="003E21A9">
      <w:pPr>
        <w:rPr>
          <w:rFonts w:asciiTheme="minorHAnsi" w:eastAsiaTheme="minorHAnsi" w:hAnsiTheme="minorHAnsi"/>
          <w:color w:val="auto"/>
          <w:sz w:val="20"/>
          <w:szCs w:val="20"/>
          <w:lang w:val="sr-Cyrl-BA" w:eastAsia="en-US"/>
        </w:rPr>
      </w:pPr>
    </w:p>
    <w:p w14:paraId="3AEE5C51" w14:textId="77777777" w:rsidR="003E21A9" w:rsidRDefault="003E21A9" w:rsidP="007259AE">
      <w:pPr>
        <w:rPr>
          <w:rFonts w:asciiTheme="minorHAnsi" w:eastAsiaTheme="minorHAnsi" w:hAnsiTheme="minorHAnsi"/>
          <w:color w:val="auto"/>
          <w:sz w:val="20"/>
          <w:szCs w:val="20"/>
          <w:lang w:val="sr-Cyrl-BA" w:eastAsia="en-US"/>
        </w:rPr>
      </w:pPr>
      <w:r w:rsidRPr="00E663D1">
        <w:rPr>
          <w:rFonts w:asciiTheme="minorHAnsi" w:eastAsiaTheme="minorHAnsi" w:hAnsiTheme="minorHAnsi"/>
          <w:color w:val="auto"/>
          <w:sz w:val="20"/>
          <w:szCs w:val="20"/>
          <w:lang w:val="sr-Cyrl-BA" w:eastAsia="en-US"/>
        </w:rPr>
        <w:t xml:space="preserve">Остали пласмани у износу од 5.730.828,39 </w:t>
      </w:r>
      <w:r>
        <w:rPr>
          <w:rFonts w:asciiTheme="minorHAnsi" w:eastAsiaTheme="minorHAnsi" w:hAnsiTheme="minorHAnsi"/>
          <w:color w:val="auto"/>
          <w:sz w:val="20"/>
          <w:szCs w:val="20"/>
          <w:lang w:val="sr-Cyrl-BA" w:eastAsia="en-US"/>
        </w:rPr>
        <w:t xml:space="preserve">КМ се односе </w:t>
      </w:r>
      <w:r w:rsidRPr="00E663D1">
        <w:rPr>
          <w:rFonts w:asciiTheme="minorHAnsi" w:eastAsiaTheme="minorHAnsi" w:hAnsiTheme="minorHAnsi"/>
          <w:color w:val="auto"/>
          <w:sz w:val="20"/>
          <w:szCs w:val="20"/>
          <w:lang w:val="sr-Cyrl-BA" w:eastAsia="en-US"/>
        </w:rPr>
        <w:t>на пласмане у Банци Српске у стечају и Бобар банци у стечају</w:t>
      </w:r>
      <w:r>
        <w:rPr>
          <w:rFonts w:asciiTheme="minorHAnsi" w:eastAsiaTheme="minorHAnsi" w:hAnsiTheme="minorHAnsi"/>
          <w:color w:val="auto"/>
          <w:sz w:val="20"/>
          <w:szCs w:val="20"/>
          <w:lang w:val="sr-Cyrl-BA" w:eastAsia="en-US"/>
        </w:rPr>
        <w:t>, након исправке</w:t>
      </w:r>
      <w:r w:rsidRPr="00E663D1">
        <w:rPr>
          <w:rFonts w:asciiTheme="minorHAnsi" w:eastAsiaTheme="minorHAnsi" w:hAnsiTheme="minorHAnsi"/>
          <w:color w:val="auto"/>
          <w:sz w:val="20"/>
          <w:szCs w:val="20"/>
          <w:lang w:val="sr-Cyrl-BA" w:eastAsia="en-US"/>
        </w:rPr>
        <w:t xml:space="preserve"> вриједности и корекција по основу процјене наплативости потраживања на дан 31.12.2023. године</w:t>
      </w:r>
      <w:r>
        <w:rPr>
          <w:rFonts w:asciiTheme="minorHAnsi" w:eastAsiaTheme="minorHAnsi" w:hAnsiTheme="minorHAnsi"/>
          <w:color w:val="auto"/>
          <w:sz w:val="20"/>
          <w:szCs w:val="20"/>
          <w:lang w:val="sr-Cyrl-BA" w:eastAsia="en-US"/>
        </w:rPr>
        <w:t xml:space="preserve">. Преостали износ од 1.485.962,50 КМ се односи на  пласман за извршено плаћање гаранције за клијента Мане комерц д.о.о. Србац,  који је евидентиран на овај начин с обзиром да је током године потписан споразум о плаћању са Новом банком а.д. Бања Лука као корисником гаранције, чиме је настала обавеза Фонда, али до краја године није дошло до одлива новца по овом основу. </w:t>
      </w:r>
    </w:p>
    <w:p w14:paraId="6558613F" w14:textId="77777777" w:rsidR="003E21A9" w:rsidRDefault="003E21A9" w:rsidP="007259AE">
      <w:pPr>
        <w:rPr>
          <w:rFonts w:asciiTheme="minorHAnsi" w:eastAsiaTheme="minorHAnsi" w:hAnsiTheme="minorHAnsi"/>
          <w:color w:val="auto"/>
          <w:sz w:val="20"/>
          <w:szCs w:val="20"/>
          <w:lang w:val="sr-Cyrl-BA" w:eastAsia="en-US"/>
        </w:rPr>
      </w:pPr>
    </w:p>
    <w:p w14:paraId="0A979537" w14:textId="77777777" w:rsidR="003E21A9" w:rsidRDefault="0066471A"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Као што је раније наведено</w:t>
      </w:r>
      <w:r w:rsidR="003E21A9">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Гарантни фонд је највећи дио слободних новчаних средстава уложио</w:t>
      </w:r>
      <w:r w:rsidR="003E21A9">
        <w:rPr>
          <w:rFonts w:asciiTheme="minorHAnsi" w:eastAsiaTheme="minorHAnsi" w:hAnsiTheme="minorHAnsi"/>
          <w:color w:val="auto"/>
          <w:sz w:val="20"/>
          <w:szCs w:val="20"/>
          <w:lang w:val="sr-Cyrl-BA" w:eastAsia="en-US"/>
        </w:rPr>
        <w:t xml:space="preserve"> у дужничке хартије од вриједности чији су емитенти Република Српска, локалне заједнице, финансијске </w:t>
      </w:r>
      <w:r>
        <w:rPr>
          <w:rFonts w:asciiTheme="minorHAnsi" w:eastAsiaTheme="minorHAnsi" w:hAnsiTheme="minorHAnsi"/>
          <w:color w:val="auto"/>
          <w:sz w:val="20"/>
          <w:szCs w:val="20"/>
          <w:lang w:val="sr-Cyrl-BA" w:eastAsia="en-US"/>
        </w:rPr>
        <w:t xml:space="preserve">институције и привредна друштва, притом поштујући ограничења дефинисана Правилником о улагању средстава. </w:t>
      </w:r>
    </w:p>
    <w:p w14:paraId="744424F6" w14:textId="77777777" w:rsidR="00E37A97" w:rsidRDefault="00E37A97"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Стање улагања у хартије од вриједности на дан 31.12.2023. године износи</w:t>
      </w:r>
      <w:r w:rsidR="00E663D1">
        <w:rPr>
          <w:rFonts w:asciiTheme="minorHAnsi" w:eastAsiaTheme="minorHAnsi" w:hAnsiTheme="minorHAnsi"/>
          <w:color w:val="auto"/>
          <w:sz w:val="20"/>
          <w:szCs w:val="20"/>
          <w:lang w:val="sr-Cyrl-BA" w:eastAsia="en-US"/>
        </w:rPr>
        <w:t xml:space="preserve"> 11.506.846,34 КМ, а д</w:t>
      </w:r>
      <w:r>
        <w:rPr>
          <w:rFonts w:asciiTheme="minorHAnsi" w:eastAsiaTheme="minorHAnsi" w:hAnsiTheme="minorHAnsi"/>
          <w:color w:val="auto"/>
          <w:sz w:val="20"/>
          <w:szCs w:val="20"/>
          <w:lang w:val="sr-Cyrl-BA" w:eastAsia="en-US"/>
        </w:rPr>
        <w:t>етаљнији преглед ових улагања</w:t>
      </w:r>
      <w:r w:rsidR="00B44D0C">
        <w:rPr>
          <w:rFonts w:asciiTheme="minorHAnsi" w:eastAsiaTheme="minorHAnsi" w:hAnsiTheme="minorHAnsi"/>
          <w:color w:val="auto"/>
          <w:sz w:val="20"/>
          <w:szCs w:val="20"/>
          <w:lang w:val="sr-Cyrl-BA" w:eastAsia="en-US"/>
        </w:rPr>
        <w:t xml:space="preserve"> дају табеле</w:t>
      </w:r>
      <w:r>
        <w:rPr>
          <w:rFonts w:asciiTheme="minorHAnsi" w:eastAsiaTheme="minorHAnsi" w:hAnsiTheme="minorHAnsi"/>
          <w:color w:val="auto"/>
          <w:sz w:val="20"/>
          <w:szCs w:val="20"/>
          <w:lang w:val="sr-Cyrl-BA" w:eastAsia="en-US"/>
        </w:rPr>
        <w:t xml:space="preserve"> у наставку.</w:t>
      </w:r>
    </w:p>
    <w:p w14:paraId="754AE43B" w14:textId="77777777" w:rsidR="00B44D0C" w:rsidRPr="00B44D0C" w:rsidRDefault="00B44D0C" w:rsidP="00B44D0C">
      <w:pPr>
        <w:rPr>
          <w:rFonts w:asciiTheme="minorHAnsi" w:eastAsiaTheme="minorHAnsi" w:hAnsiTheme="minorHAnsi"/>
          <w:color w:val="auto"/>
          <w:sz w:val="20"/>
          <w:szCs w:val="20"/>
          <w:lang w:val="sr-Cyrl-BA" w:eastAsia="en-US"/>
        </w:rPr>
      </w:pPr>
    </w:p>
    <w:p w14:paraId="552296CE" w14:textId="77777777" w:rsidR="001538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стања хартија од вриједности на дан 31.12.202</w:t>
      </w:r>
      <w:r w:rsidR="000B3AEA">
        <w:rPr>
          <w:rFonts w:asciiTheme="minorHAnsi" w:hAnsiTheme="minorHAnsi"/>
          <w:b/>
          <w:sz w:val="20"/>
          <w:szCs w:val="20"/>
          <w:lang w:val="sr-Cyrl-CS" w:eastAsia="sr-Cyrl-CS"/>
        </w:rPr>
        <w:t>3</w:t>
      </w:r>
      <w:r w:rsidRPr="005767EF">
        <w:rPr>
          <w:rFonts w:asciiTheme="minorHAnsi" w:hAnsiTheme="minorHAnsi"/>
          <w:b/>
          <w:sz w:val="20"/>
          <w:szCs w:val="20"/>
          <w:lang w:val="sr-Cyrl-CS" w:eastAsia="sr-Cyrl-CS"/>
        </w:rPr>
        <w:t>. године</w:t>
      </w:r>
      <w:r w:rsidR="00B44D0C">
        <w:rPr>
          <w:rFonts w:asciiTheme="minorHAnsi" w:hAnsiTheme="minorHAnsi"/>
          <w:b/>
          <w:sz w:val="20"/>
          <w:szCs w:val="20"/>
          <w:lang w:val="sr-Cyrl-CS" w:eastAsia="sr-Cyrl-CS"/>
        </w:rPr>
        <w:t xml:space="preserve"> по емитентима</w:t>
      </w:r>
    </w:p>
    <w:p w14:paraId="2B0041EA" w14:textId="77777777" w:rsidR="003E21A9" w:rsidRPr="005767EF" w:rsidRDefault="003E21A9" w:rsidP="001538EF">
      <w:pPr>
        <w:jc w:val="center"/>
        <w:rPr>
          <w:rFonts w:asciiTheme="minorHAnsi" w:hAnsiTheme="minorHAnsi"/>
          <w:b/>
          <w:sz w:val="20"/>
          <w:szCs w:val="20"/>
          <w:lang w:val="sr-Cyrl-CS" w:eastAsia="sr-Cyrl-CS"/>
        </w:rPr>
      </w:pPr>
    </w:p>
    <w:p w14:paraId="43ED891F" w14:textId="77777777" w:rsidR="001538EF" w:rsidRPr="005767EF" w:rsidRDefault="008C6F9F" w:rsidP="008C6F9F">
      <w:pPr>
        <w:jc w:val="right"/>
        <w:rPr>
          <w:rFonts w:asciiTheme="minorHAnsi" w:hAnsiTheme="minorHAnsi"/>
          <w:b/>
          <w:sz w:val="20"/>
          <w:szCs w:val="20"/>
          <w:lang w:val="sr-Cyrl-CS" w:eastAsia="sr-Cyrl-CS"/>
        </w:rPr>
      </w:pPr>
      <w:r>
        <w:rPr>
          <w:rFonts w:asciiTheme="minorHAnsi" w:eastAsia="Calibri" w:hAnsiTheme="minorHAnsi"/>
          <w:b/>
          <w:color w:val="auto"/>
          <w:sz w:val="20"/>
          <w:szCs w:val="20"/>
          <w:lang w:val="sr-Cyrl-BA" w:eastAsia="en-US"/>
        </w:rPr>
        <w:t>Табела 28</w:t>
      </w:r>
    </w:p>
    <w:tbl>
      <w:tblPr>
        <w:tblW w:w="8804" w:type="dxa"/>
        <w:tblInd w:w="93" w:type="dxa"/>
        <w:tblLook w:val="04A0" w:firstRow="1" w:lastRow="0" w:firstColumn="1" w:lastColumn="0" w:noHBand="0" w:noVBand="1"/>
      </w:tblPr>
      <w:tblGrid>
        <w:gridCol w:w="2340"/>
        <w:gridCol w:w="1900"/>
        <w:gridCol w:w="1820"/>
        <w:gridCol w:w="1468"/>
        <w:gridCol w:w="1276"/>
      </w:tblGrid>
      <w:tr w:rsidR="008C6F9F" w:rsidRPr="00626C5F" w14:paraId="66C9C8F4" w14:textId="77777777" w:rsidTr="002E51B0">
        <w:trPr>
          <w:trHeight w:val="510"/>
        </w:trPr>
        <w:tc>
          <w:tcPr>
            <w:tcW w:w="234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0AB23F4F"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lang w:val="sr-Cyrl-BA"/>
              </w:rPr>
              <w:t>Емитент хартије од вриједности</w:t>
            </w:r>
          </w:p>
        </w:tc>
        <w:tc>
          <w:tcPr>
            <w:tcW w:w="1900" w:type="dxa"/>
            <w:tcBorders>
              <w:top w:val="single" w:sz="4" w:space="0" w:color="auto"/>
              <w:left w:val="nil"/>
              <w:bottom w:val="single" w:sz="4" w:space="0" w:color="auto"/>
              <w:right w:val="single" w:sz="4" w:space="0" w:color="auto"/>
            </w:tcBorders>
            <w:shd w:val="clear" w:color="000000" w:fill="8DB3E2"/>
            <w:vAlign w:val="center"/>
            <w:hideMark/>
          </w:tcPr>
          <w:p w14:paraId="73337364"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 xml:space="preserve">Стање на дан 31.12.2022. </w:t>
            </w:r>
          </w:p>
        </w:tc>
        <w:tc>
          <w:tcPr>
            <w:tcW w:w="1820" w:type="dxa"/>
            <w:tcBorders>
              <w:top w:val="single" w:sz="4" w:space="0" w:color="auto"/>
              <w:left w:val="nil"/>
              <w:bottom w:val="single" w:sz="4" w:space="0" w:color="auto"/>
              <w:right w:val="single" w:sz="4" w:space="0" w:color="auto"/>
            </w:tcBorders>
            <w:shd w:val="clear" w:color="000000" w:fill="8DB3E2"/>
            <w:vAlign w:val="center"/>
            <w:hideMark/>
          </w:tcPr>
          <w:p w14:paraId="17DEBE4A"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 xml:space="preserve">Стање на дан 31.12.2023. </w:t>
            </w:r>
          </w:p>
        </w:tc>
        <w:tc>
          <w:tcPr>
            <w:tcW w:w="1468" w:type="dxa"/>
            <w:tcBorders>
              <w:top w:val="single" w:sz="4" w:space="0" w:color="auto"/>
              <w:left w:val="nil"/>
              <w:bottom w:val="single" w:sz="4" w:space="0" w:color="auto"/>
              <w:right w:val="single" w:sz="4" w:space="0" w:color="auto"/>
            </w:tcBorders>
            <w:shd w:val="clear" w:color="000000" w:fill="8DB4E2"/>
            <w:noWrap/>
            <w:vAlign w:val="center"/>
            <w:hideMark/>
          </w:tcPr>
          <w:p w14:paraId="5736D334"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Индекс</w:t>
            </w:r>
          </w:p>
        </w:tc>
        <w:tc>
          <w:tcPr>
            <w:tcW w:w="1276" w:type="dxa"/>
            <w:tcBorders>
              <w:top w:val="single" w:sz="4" w:space="0" w:color="auto"/>
              <w:left w:val="nil"/>
              <w:bottom w:val="single" w:sz="4" w:space="0" w:color="auto"/>
              <w:right w:val="single" w:sz="4" w:space="0" w:color="auto"/>
            </w:tcBorders>
            <w:shd w:val="clear" w:color="000000" w:fill="8DB4E2"/>
            <w:noWrap/>
            <w:vAlign w:val="center"/>
            <w:hideMark/>
          </w:tcPr>
          <w:p w14:paraId="6D51662D"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Структура</w:t>
            </w:r>
          </w:p>
        </w:tc>
      </w:tr>
      <w:tr w:rsidR="008C6F9F" w:rsidRPr="00626C5F" w14:paraId="017DCD83"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62F152D" w14:textId="77777777" w:rsidR="008C6F9F" w:rsidRPr="00626C5F" w:rsidRDefault="008C6F9F" w:rsidP="002E51B0">
            <w:pPr>
              <w:jc w:val="left"/>
              <w:rPr>
                <w:rFonts w:ascii="Calibri" w:hAnsi="Calibri"/>
                <w:sz w:val="20"/>
                <w:szCs w:val="20"/>
              </w:rPr>
            </w:pPr>
            <w:r w:rsidRPr="00626C5F">
              <w:rPr>
                <w:rFonts w:ascii="Calibri" w:hAnsi="Calibri"/>
                <w:sz w:val="20"/>
                <w:szCs w:val="20"/>
                <w:lang w:val="sr-Cyrl-BA"/>
              </w:rPr>
              <w:t>Република Српска</w:t>
            </w:r>
          </w:p>
        </w:tc>
        <w:tc>
          <w:tcPr>
            <w:tcW w:w="1900" w:type="dxa"/>
            <w:tcBorders>
              <w:top w:val="nil"/>
              <w:left w:val="nil"/>
              <w:bottom w:val="single" w:sz="4" w:space="0" w:color="auto"/>
              <w:right w:val="single" w:sz="4" w:space="0" w:color="auto"/>
            </w:tcBorders>
            <w:shd w:val="clear" w:color="auto" w:fill="auto"/>
            <w:noWrap/>
            <w:vAlign w:val="center"/>
            <w:hideMark/>
          </w:tcPr>
          <w:p w14:paraId="374C45B3"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lang w:val="sr-Cyrl-BA"/>
              </w:rPr>
              <w:t>8.094.400,00</w:t>
            </w:r>
          </w:p>
        </w:tc>
        <w:tc>
          <w:tcPr>
            <w:tcW w:w="1820" w:type="dxa"/>
            <w:tcBorders>
              <w:top w:val="nil"/>
              <w:left w:val="nil"/>
              <w:bottom w:val="single" w:sz="4" w:space="0" w:color="auto"/>
              <w:right w:val="single" w:sz="4" w:space="0" w:color="auto"/>
            </w:tcBorders>
            <w:shd w:val="clear" w:color="auto" w:fill="auto"/>
            <w:noWrap/>
            <w:vAlign w:val="center"/>
            <w:hideMark/>
          </w:tcPr>
          <w:p w14:paraId="041AC284"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7.719.400,00</w:t>
            </w:r>
          </w:p>
        </w:tc>
        <w:tc>
          <w:tcPr>
            <w:tcW w:w="1468" w:type="dxa"/>
            <w:tcBorders>
              <w:top w:val="nil"/>
              <w:left w:val="nil"/>
              <w:bottom w:val="single" w:sz="4" w:space="0" w:color="auto"/>
              <w:right w:val="single" w:sz="4" w:space="0" w:color="auto"/>
            </w:tcBorders>
            <w:shd w:val="clear" w:color="auto" w:fill="auto"/>
            <w:noWrap/>
            <w:vAlign w:val="bottom"/>
            <w:hideMark/>
          </w:tcPr>
          <w:p w14:paraId="11A4F74E" w14:textId="77777777" w:rsidR="008C6F9F" w:rsidRPr="00626C5F" w:rsidRDefault="008C6F9F" w:rsidP="002E51B0">
            <w:pPr>
              <w:jc w:val="right"/>
              <w:rPr>
                <w:rFonts w:ascii="Calibri" w:hAnsi="Calibri"/>
                <w:sz w:val="20"/>
                <w:szCs w:val="20"/>
              </w:rPr>
            </w:pPr>
            <w:r w:rsidRPr="00626C5F">
              <w:rPr>
                <w:rFonts w:ascii="Calibri" w:hAnsi="Calibri"/>
                <w:sz w:val="20"/>
                <w:szCs w:val="20"/>
              </w:rPr>
              <w:t>95,37</w:t>
            </w:r>
          </w:p>
        </w:tc>
        <w:tc>
          <w:tcPr>
            <w:tcW w:w="1276" w:type="dxa"/>
            <w:tcBorders>
              <w:top w:val="nil"/>
              <w:left w:val="nil"/>
              <w:bottom w:val="single" w:sz="4" w:space="0" w:color="auto"/>
              <w:right w:val="single" w:sz="4" w:space="0" w:color="auto"/>
            </w:tcBorders>
            <w:shd w:val="clear" w:color="auto" w:fill="auto"/>
            <w:vAlign w:val="bottom"/>
            <w:hideMark/>
          </w:tcPr>
          <w:p w14:paraId="00B02B67" w14:textId="77777777" w:rsidR="008C6F9F" w:rsidRPr="00626C5F" w:rsidRDefault="008C6F9F" w:rsidP="002E51B0">
            <w:pPr>
              <w:jc w:val="right"/>
              <w:rPr>
                <w:rFonts w:ascii="Calibri" w:hAnsi="Calibri"/>
                <w:sz w:val="20"/>
                <w:szCs w:val="20"/>
              </w:rPr>
            </w:pPr>
            <w:r w:rsidRPr="00626C5F">
              <w:rPr>
                <w:rFonts w:ascii="Calibri" w:hAnsi="Calibri"/>
                <w:sz w:val="20"/>
                <w:szCs w:val="20"/>
              </w:rPr>
              <w:t>67,05%</w:t>
            </w:r>
          </w:p>
        </w:tc>
      </w:tr>
      <w:tr w:rsidR="008C6F9F" w:rsidRPr="00626C5F" w14:paraId="02C17C8C"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241CBD1" w14:textId="77777777" w:rsidR="008C6F9F" w:rsidRPr="00626C5F" w:rsidRDefault="008C6F9F" w:rsidP="002E51B0">
            <w:pPr>
              <w:jc w:val="left"/>
              <w:rPr>
                <w:rFonts w:ascii="Calibri" w:hAnsi="Calibri"/>
                <w:sz w:val="20"/>
                <w:szCs w:val="20"/>
              </w:rPr>
            </w:pPr>
            <w:r w:rsidRPr="00626C5F">
              <w:rPr>
                <w:rFonts w:ascii="Calibri" w:hAnsi="Calibri"/>
                <w:sz w:val="20"/>
                <w:szCs w:val="20"/>
                <w:lang w:val="sr-Cyrl-BA"/>
              </w:rPr>
              <w:t>Локалне заједнице</w:t>
            </w:r>
          </w:p>
        </w:tc>
        <w:tc>
          <w:tcPr>
            <w:tcW w:w="1900" w:type="dxa"/>
            <w:tcBorders>
              <w:top w:val="nil"/>
              <w:left w:val="nil"/>
              <w:bottom w:val="single" w:sz="4" w:space="0" w:color="auto"/>
              <w:right w:val="single" w:sz="4" w:space="0" w:color="auto"/>
            </w:tcBorders>
            <w:shd w:val="clear" w:color="auto" w:fill="auto"/>
            <w:noWrap/>
            <w:vAlign w:val="center"/>
            <w:hideMark/>
          </w:tcPr>
          <w:p w14:paraId="4135033A"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lang w:val="sr-Cyrl-BA"/>
              </w:rPr>
              <w:t>1.584.985,81</w:t>
            </w:r>
          </w:p>
        </w:tc>
        <w:tc>
          <w:tcPr>
            <w:tcW w:w="1820" w:type="dxa"/>
            <w:tcBorders>
              <w:top w:val="nil"/>
              <w:left w:val="nil"/>
              <w:bottom w:val="single" w:sz="4" w:space="0" w:color="auto"/>
              <w:right w:val="single" w:sz="4" w:space="0" w:color="auto"/>
            </w:tcBorders>
            <w:shd w:val="clear" w:color="auto" w:fill="auto"/>
            <w:noWrap/>
            <w:vAlign w:val="center"/>
            <w:hideMark/>
          </w:tcPr>
          <w:p w14:paraId="29C9A1B0"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1.692.542,96</w:t>
            </w:r>
          </w:p>
        </w:tc>
        <w:tc>
          <w:tcPr>
            <w:tcW w:w="1468" w:type="dxa"/>
            <w:tcBorders>
              <w:top w:val="nil"/>
              <w:left w:val="nil"/>
              <w:bottom w:val="single" w:sz="4" w:space="0" w:color="auto"/>
              <w:right w:val="single" w:sz="4" w:space="0" w:color="auto"/>
            </w:tcBorders>
            <w:shd w:val="clear" w:color="auto" w:fill="auto"/>
            <w:noWrap/>
            <w:vAlign w:val="bottom"/>
            <w:hideMark/>
          </w:tcPr>
          <w:p w14:paraId="374C99B5" w14:textId="77777777" w:rsidR="008C6F9F" w:rsidRPr="00626C5F" w:rsidRDefault="008C6F9F" w:rsidP="002E51B0">
            <w:pPr>
              <w:jc w:val="right"/>
              <w:rPr>
                <w:rFonts w:ascii="Calibri" w:hAnsi="Calibri"/>
                <w:sz w:val="20"/>
                <w:szCs w:val="20"/>
              </w:rPr>
            </w:pPr>
            <w:r w:rsidRPr="00626C5F">
              <w:rPr>
                <w:rFonts w:ascii="Calibri" w:hAnsi="Calibri"/>
                <w:sz w:val="20"/>
                <w:szCs w:val="20"/>
              </w:rPr>
              <w:t>106,79</w:t>
            </w:r>
          </w:p>
        </w:tc>
        <w:tc>
          <w:tcPr>
            <w:tcW w:w="1276" w:type="dxa"/>
            <w:tcBorders>
              <w:top w:val="nil"/>
              <w:left w:val="nil"/>
              <w:bottom w:val="single" w:sz="4" w:space="0" w:color="auto"/>
              <w:right w:val="single" w:sz="4" w:space="0" w:color="auto"/>
            </w:tcBorders>
            <w:shd w:val="clear" w:color="auto" w:fill="auto"/>
            <w:vAlign w:val="bottom"/>
            <w:hideMark/>
          </w:tcPr>
          <w:p w14:paraId="10B17425" w14:textId="77777777" w:rsidR="008C6F9F" w:rsidRPr="00626C5F" w:rsidRDefault="008C6F9F" w:rsidP="002E51B0">
            <w:pPr>
              <w:jc w:val="right"/>
              <w:rPr>
                <w:rFonts w:ascii="Calibri" w:hAnsi="Calibri"/>
                <w:sz w:val="20"/>
                <w:szCs w:val="20"/>
              </w:rPr>
            </w:pPr>
            <w:r w:rsidRPr="00626C5F">
              <w:rPr>
                <w:rFonts w:ascii="Calibri" w:hAnsi="Calibri"/>
                <w:sz w:val="20"/>
                <w:szCs w:val="20"/>
              </w:rPr>
              <w:t>14,70%</w:t>
            </w:r>
          </w:p>
        </w:tc>
      </w:tr>
      <w:tr w:rsidR="008C6F9F" w:rsidRPr="00626C5F" w14:paraId="09B1CE09"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3D3B6D0" w14:textId="77777777" w:rsidR="008C6F9F" w:rsidRPr="00626C5F" w:rsidRDefault="008C6F9F" w:rsidP="002E51B0">
            <w:pPr>
              <w:jc w:val="left"/>
              <w:rPr>
                <w:rFonts w:ascii="Calibri" w:hAnsi="Calibri"/>
                <w:sz w:val="20"/>
                <w:szCs w:val="20"/>
              </w:rPr>
            </w:pPr>
            <w:r w:rsidRPr="00626C5F">
              <w:rPr>
                <w:rFonts w:ascii="Calibri" w:hAnsi="Calibri"/>
                <w:sz w:val="20"/>
                <w:szCs w:val="20"/>
                <w:lang w:val="sr-Cyrl-BA"/>
              </w:rPr>
              <w:t>Финансијске институције</w:t>
            </w:r>
          </w:p>
        </w:tc>
        <w:tc>
          <w:tcPr>
            <w:tcW w:w="1900" w:type="dxa"/>
            <w:tcBorders>
              <w:top w:val="nil"/>
              <w:left w:val="nil"/>
              <w:bottom w:val="single" w:sz="4" w:space="0" w:color="auto"/>
              <w:right w:val="single" w:sz="4" w:space="0" w:color="auto"/>
            </w:tcBorders>
            <w:shd w:val="clear" w:color="auto" w:fill="auto"/>
            <w:noWrap/>
            <w:vAlign w:val="center"/>
            <w:hideMark/>
          </w:tcPr>
          <w:p w14:paraId="7C192CFE"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lang w:val="sr-Cyrl-BA"/>
              </w:rPr>
              <w:t>1.242.197,54</w:t>
            </w:r>
          </w:p>
        </w:tc>
        <w:tc>
          <w:tcPr>
            <w:tcW w:w="1820" w:type="dxa"/>
            <w:tcBorders>
              <w:top w:val="nil"/>
              <w:left w:val="nil"/>
              <w:bottom w:val="single" w:sz="4" w:space="0" w:color="auto"/>
              <w:right w:val="single" w:sz="4" w:space="0" w:color="auto"/>
            </w:tcBorders>
            <w:shd w:val="clear" w:color="auto" w:fill="auto"/>
            <w:noWrap/>
            <w:vAlign w:val="center"/>
            <w:hideMark/>
          </w:tcPr>
          <w:p w14:paraId="6CDFFE89"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1.770.202,27</w:t>
            </w:r>
          </w:p>
        </w:tc>
        <w:tc>
          <w:tcPr>
            <w:tcW w:w="1468" w:type="dxa"/>
            <w:tcBorders>
              <w:top w:val="nil"/>
              <w:left w:val="nil"/>
              <w:bottom w:val="single" w:sz="4" w:space="0" w:color="auto"/>
              <w:right w:val="single" w:sz="4" w:space="0" w:color="auto"/>
            </w:tcBorders>
            <w:shd w:val="clear" w:color="auto" w:fill="auto"/>
            <w:noWrap/>
            <w:vAlign w:val="bottom"/>
            <w:hideMark/>
          </w:tcPr>
          <w:p w14:paraId="6834CE1F" w14:textId="77777777" w:rsidR="008C6F9F" w:rsidRPr="00626C5F" w:rsidRDefault="008C6F9F" w:rsidP="002E51B0">
            <w:pPr>
              <w:jc w:val="right"/>
              <w:rPr>
                <w:rFonts w:ascii="Calibri" w:hAnsi="Calibri"/>
                <w:sz w:val="20"/>
                <w:szCs w:val="20"/>
              </w:rPr>
            </w:pPr>
            <w:r w:rsidRPr="00626C5F">
              <w:rPr>
                <w:rFonts w:ascii="Calibri" w:hAnsi="Calibri"/>
                <w:sz w:val="20"/>
                <w:szCs w:val="20"/>
              </w:rPr>
              <w:t>142,51</w:t>
            </w:r>
          </w:p>
        </w:tc>
        <w:tc>
          <w:tcPr>
            <w:tcW w:w="1276" w:type="dxa"/>
            <w:tcBorders>
              <w:top w:val="nil"/>
              <w:left w:val="nil"/>
              <w:bottom w:val="single" w:sz="4" w:space="0" w:color="auto"/>
              <w:right w:val="single" w:sz="4" w:space="0" w:color="auto"/>
            </w:tcBorders>
            <w:shd w:val="clear" w:color="auto" w:fill="auto"/>
            <w:vAlign w:val="bottom"/>
            <w:hideMark/>
          </w:tcPr>
          <w:p w14:paraId="4CD45AF2" w14:textId="77777777" w:rsidR="008C6F9F" w:rsidRPr="00626C5F" w:rsidRDefault="008C6F9F" w:rsidP="002E51B0">
            <w:pPr>
              <w:jc w:val="right"/>
              <w:rPr>
                <w:rFonts w:ascii="Calibri" w:hAnsi="Calibri"/>
                <w:sz w:val="20"/>
                <w:szCs w:val="20"/>
              </w:rPr>
            </w:pPr>
            <w:r w:rsidRPr="00626C5F">
              <w:rPr>
                <w:rFonts w:ascii="Calibri" w:hAnsi="Calibri"/>
                <w:sz w:val="20"/>
                <w:szCs w:val="20"/>
              </w:rPr>
              <w:t>15,38%</w:t>
            </w:r>
          </w:p>
        </w:tc>
      </w:tr>
      <w:tr w:rsidR="008C6F9F" w:rsidRPr="00626C5F" w14:paraId="4364DE9E"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0539D3C3" w14:textId="77777777" w:rsidR="008C6F9F" w:rsidRPr="00626C5F" w:rsidRDefault="008C6F9F" w:rsidP="002E51B0">
            <w:pPr>
              <w:jc w:val="left"/>
              <w:rPr>
                <w:rFonts w:ascii="Calibri" w:hAnsi="Calibri"/>
                <w:sz w:val="20"/>
                <w:szCs w:val="20"/>
              </w:rPr>
            </w:pPr>
            <w:r w:rsidRPr="00626C5F">
              <w:rPr>
                <w:rFonts w:ascii="Calibri" w:hAnsi="Calibri"/>
                <w:sz w:val="20"/>
                <w:szCs w:val="20"/>
                <w:lang w:val="sr-Cyrl-BA"/>
              </w:rPr>
              <w:t>Привредна друштва</w:t>
            </w:r>
          </w:p>
        </w:tc>
        <w:tc>
          <w:tcPr>
            <w:tcW w:w="1900" w:type="dxa"/>
            <w:tcBorders>
              <w:top w:val="nil"/>
              <w:left w:val="nil"/>
              <w:bottom w:val="single" w:sz="4" w:space="0" w:color="auto"/>
              <w:right w:val="single" w:sz="4" w:space="0" w:color="auto"/>
            </w:tcBorders>
            <w:shd w:val="clear" w:color="auto" w:fill="auto"/>
            <w:noWrap/>
            <w:vAlign w:val="center"/>
            <w:hideMark/>
          </w:tcPr>
          <w:p w14:paraId="167DA4ED"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lang w:val="sr-Cyrl-BA"/>
              </w:rPr>
              <w:t>366.166,25</w:t>
            </w:r>
          </w:p>
        </w:tc>
        <w:tc>
          <w:tcPr>
            <w:tcW w:w="1820" w:type="dxa"/>
            <w:tcBorders>
              <w:top w:val="nil"/>
              <w:left w:val="nil"/>
              <w:bottom w:val="single" w:sz="4" w:space="0" w:color="auto"/>
              <w:right w:val="single" w:sz="4" w:space="0" w:color="auto"/>
            </w:tcBorders>
            <w:shd w:val="clear" w:color="auto" w:fill="auto"/>
            <w:noWrap/>
            <w:vAlign w:val="center"/>
            <w:hideMark/>
          </w:tcPr>
          <w:p w14:paraId="6D2CDDB4"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329.951,11</w:t>
            </w:r>
          </w:p>
        </w:tc>
        <w:tc>
          <w:tcPr>
            <w:tcW w:w="1468" w:type="dxa"/>
            <w:tcBorders>
              <w:top w:val="nil"/>
              <w:left w:val="nil"/>
              <w:bottom w:val="single" w:sz="4" w:space="0" w:color="auto"/>
              <w:right w:val="single" w:sz="4" w:space="0" w:color="auto"/>
            </w:tcBorders>
            <w:shd w:val="clear" w:color="auto" w:fill="auto"/>
            <w:noWrap/>
            <w:vAlign w:val="bottom"/>
            <w:hideMark/>
          </w:tcPr>
          <w:p w14:paraId="6D4238C6" w14:textId="77777777" w:rsidR="008C6F9F" w:rsidRPr="00626C5F" w:rsidRDefault="008C6F9F" w:rsidP="002E51B0">
            <w:pPr>
              <w:jc w:val="right"/>
              <w:rPr>
                <w:rFonts w:ascii="Calibri" w:hAnsi="Calibri"/>
                <w:sz w:val="20"/>
                <w:szCs w:val="20"/>
              </w:rPr>
            </w:pPr>
            <w:r w:rsidRPr="00626C5F">
              <w:rPr>
                <w:rFonts w:ascii="Calibri" w:hAnsi="Calibri"/>
                <w:sz w:val="20"/>
                <w:szCs w:val="20"/>
              </w:rPr>
              <w:t>90,11</w:t>
            </w:r>
          </w:p>
        </w:tc>
        <w:tc>
          <w:tcPr>
            <w:tcW w:w="1276" w:type="dxa"/>
            <w:tcBorders>
              <w:top w:val="nil"/>
              <w:left w:val="nil"/>
              <w:bottom w:val="single" w:sz="4" w:space="0" w:color="auto"/>
              <w:right w:val="single" w:sz="4" w:space="0" w:color="auto"/>
            </w:tcBorders>
            <w:shd w:val="clear" w:color="auto" w:fill="auto"/>
            <w:vAlign w:val="bottom"/>
            <w:hideMark/>
          </w:tcPr>
          <w:p w14:paraId="208903D6" w14:textId="77777777" w:rsidR="008C6F9F" w:rsidRPr="00626C5F" w:rsidRDefault="008C6F9F" w:rsidP="002E51B0">
            <w:pPr>
              <w:jc w:val="right"/>
              <w:rPr>
                <w:rFonts w:ascii="Calibri" w:hAnsi="Calibri"/>
                <w:sz w:val="20"/>
                <w:szCs w:val="20"/>
              </w:rPr>
            </w:pPr>
            <w:r w:rsidRPr="00626C5F">
              <w:rPr>
                <w:rFonts w:ascii="Calibri" w:hAnsi="Calibri"/>
                <w:sz w:val="20"/>
                <w:szCs w:val="20"/>
              </w:rPr>
              <w:t>2,87%</w:t>
            </w:r>
          </w:p>
        </w:tc>
      </w:tr>
      <w:tr w:rsidR="008C6F9F" w:rsidRPr="00626C5F" w14:paraId="1F4CEE9B" w14:textId="77777777" w:rsidTr="002E51B0">
        <w:trPr>
          <w:trHeight w:val="315"/>
        </w:trPr>
        <w:tc>
          <w:tcPr>
            <w:tcW w:w="2340" w:type="dxa"/>
            <w:tcBorders>
              <w:top w:val="nil"/>
              <w:left w:val="single" w:sz="4" w:space="0" w:color="auto"/>
              <w:bottom w:val="single" w:sz="4" w:space="0" w:color="auto"/>
              <w:right w:val="single" w:sz="4" w:space="0" w:color="auto"/>
            </w:tcBorders>
            <w:shd w:val="clear" w:color="000000" w:fill="8DB3E2"/>
            <w:vAlign w:val="center"/>
            <w:hideMark/>
          </w:tcPr>
          <w:p w14:paraId="0FBD1DE1" w14:textId="77777777" w:rsidR="008C6F9F" w:rsidRPr="00626C5F" w:rsidRDefault="008C6F9F" w:rsidP="002E51B0">
            <w:pPr>
              <w:jc w:val="left"/>
              <w:rPr>
                <w:rFonts w:ascii="Calibri" w:hAnsi="Calibri"/>
                <w:b/>
                <w:bCs/>
                <w:sz w:val="20"/>
                <w:szCs w:val="20"/>
              </w:rPr>
            </w:pPr>
            <w:r w:rsidRPr="00626C5F">
              <w:rPr>
                <w:rFonts w:ascii="Calibri" w:hAnsi="Calibri"/>
                <w:b/>
                <w:bCs/>
                <w:sz w:val="20"/>
                <w:szCs w:val="20"/>
                <w:lang w:val="sr-Cyrl-BA"/>
              </w:rPr>
              <w:t>Свеукупно</w:t>
            </w:r>
          </w:p>
        </w:tc>
        <w:tc>
          <w:tcPr>
            <w:tcW w:w="1900" w:type="dxa"/>
            <w:tcBorders>
              <w:top w:val="nil"/>
              <w:left w:val="nil"/>
              <w:bottom w:val="single" w:sz="4" w:space="0" w:color="auto"/>
              <w:right w:val="single" w:sz="4" w:space="0" w:color="auto"/>
            </w:tcBorders>
            <w:shd w:val="clear" w:color="000000" w:fill="8DB3E2"/>
            <w:noWrap/>
            <w:vAlign w:val="center"/>
            <w:hideMark/>
          </w:tcPr>
          <w:p w14:paraId="65300958"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11.287.749,60</w:t>
            </w:r>
          </w:p>
        </w:tc>
        <w:tc>
          <w:tcPr>
            <w:tcW w:w="1820" w:type="dxa"/>
            <w:tcBorders>
              <w:top w:val="nil"/>
              <w:left w:val="nil"/>
              <w:bottom w:val="single" w:sz="4" w:space="0" w:color="auto"/>
              <w:right w:val="single" w:sz="4" w:space="0" w:color="auto"/>
            </w:tcBorders>
            <w:shd w:val="clear" w:color="000000" w:fill="8DB3E2"/>
            <w:noWrap/>
            <w:vAlign w:val="center"/>
            <w:hideMark/>
          </w:tcPr>
          <w:p w14:paraId="7EE34F2E"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11.512.096,34</w:t>
            </w:r>
          </w:p>
        </w:tc>
        <w:tc>
          <w:tcPr>
            <w:tcW w:w="1468" w:type="dxa"/>
            <w:tcBorders>
              <w:top w:val="nil"/>
              <w:left w:val="nil"/>
              <w:bottom w:val="single" w:sz="4" w:space="0" w:color="auto"/>
              <w:right w:val="single" w:sz="4" w:space="0" w:color="auto"/>
            </w:tcBorders>
            <w:shd w:val="clear" w:color="000000" w:fill="8DB4E2"/>
            <w:noWrap/>
            <w:vAlign w:val="bottom"/>
            <w:hideMark/>
          </w:tcPr>
          <w:p w14:paraId="71618C39"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101,99</w:t>
            </w:r>
          </w:p>
        </w:tc>
        <w:tc>
          <w:tcPr>
            <w:tcW w:w="1276" w:type="dxa"/>
            <w:tcBorders>
              <w:top w:val="nil"/>
              <w:left w:val="nil"/>
              <w:bottom w:val="single" w:sz="4" w:space="0" w:color="auto"/>
              <w:right w:val="single" w:sz="4" w:space="0" w:color="auto"/>
            </w:tcBorders>
            <w:shd w:val="clear" w:color="000000" w:fill="8DB3E2"/>
            <w:noWrap/>
            <w:vAlign w:val="center"/>
            <w:hideMark/>
          </w:tcPr>
          <w:p w14:paraId="464D51EE"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100,00%</w:t>
            </w:r>
          </w:p>
        </w:tc>
      </w:tr>
    </w:tbl>
    <w:p w14:paraId="656A6D4C" w14:textId="77777777" w:rsidR="001538EF" w:rsidRPr="00B44D0C"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sidR="00B44D0C">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p>
    <w:p w14:paraId="3EEFF744" w14:textId="77777777" w:rsidR="001538EF" w:rsidRDefault="008C6F9F" w:rsidP="001538EF">
      <w:pPr>
        <w:rPr>
          <w:rFonts w:asciiTheme="minorHAnsi" w:hAnsiTheme="minorHAnsi"/>
          <w:sz w:val="20"/>
          <w:szCs w:val="20"/>
          <w:lang w:val="sr-Cyrl-CS" w:eastAsia="sr-Cyrl-CS"/>
        </w:rPr>
      </w:pPr>
      <w:r w:rsidRPr="008C6F9F">
        <w:rPr>
          <w:rFonts w:asciiTheme="minorHAnsi" w:hAnsiTheme="minorHAnsi"/>
          <w:sz w:val="20"/>
          <w:szCs w:val="20"/>
          <w:lang w:val="sr-Cyrl-CS" w:eastAsia="sr-Cyrl-CS"/>
        </w:rPr>
        <w:t>Доминантно учешће од 67,05% имају улагања у дужничке хартије од вриједности Републике Српске,</w:t>
      </w:r>
      <w:r w:rsidR="00823B1A">
        <w:rPr>
          <w:rFonts w:asciiTheme="minorHAnsi" w:hAnsiTheme="minorHAnsi"/>
          <w:sz w:val="20"/>
          <w:szCs w:val="20"/>
          <w:lang w:val="sr-Cyrl-CS" w:eastAsia="sr-Cyrl-CS"/>
        </w:rPr>
        <w:t xml:space="preserve"> чије стање на дан 31.12.2023. године износи 7.719.400,00 КМ. Н</w:t>
      </w:r>
      <w:r w:rsidRPr="008C6F9F">
        <w:rPr>
          <w:rFonts w:asciiTheme="minorHAnsi" w:hAnsiTheme="minorHAnsi"/>
          <w:sz w:val="20"/>
          <w:szCs w:val="20"/>
          <w:lang w:val="sr-Cyrl-CS" w:eastAsia="sr-Cyrl-CS"/>
        </w:rPr>
        <w:t xml:space="preserve">а другом и трећем мјесту, са приближно истим учешћем од 14,70% и 15,38%, налазе </w:t>
      </w:r>
      <w:r w:rsidR="00823B1A">
        <w:rPr>
          <w:rFonts w:asciiTheme="minorHAnsi" w:hAnsiTheme="minorHAnsi"/>
          <w:sz w:val="20"/>
          <w:szCs w:val="20"/>
          <w:lang w:val="sr-Cyrl-CS" w:eastAsia="sr-Cyrl-CS"/>
        </w:rPr>
        <w:t xml:space="preserve">се </w:t>
      </w:r>
      <w:r w:rsidRPr="008C6F9F">
        <w:rPr>
          <w:rFonts w:asciiTheme="minorHAnsi" w:hAnsiTheme="minorHAnsi"/>
          <w:sz w:val="20"/>
          <w:szCs w:val="20"/>
          <w:lang w:val="sr-Cyrl-CS" w:eastAsia="sr-Cyrl-CS"/>
        </w:rPr>
        <w:t>улагања у дужничке хартије од вриједности чији су емитенти локалне заједнице и финансијске институције. Улагања у хартије од вриједности привредних д</w:t>
      </w:r>
      <w:r w:rsidR="00823B1A">
        <w:rPr>
          <w:rFonts w:asciiTheme="minorHAnsi" w:hAnsiTheme="minorHAnsi"/>
          <w:sz w:val="20"/>
          <w:szCs w:val="20"/>
          <w:lang w:val="sr-Cyrl-CS" w:eastAsia="sr-Cyrl-CS"/>
        </w:rPr>
        <w:t xml:space="preserve">руштава имају најмање учешће, </w:t>
      </w:r>
      <w:r w:rsidRPr="008C6F9F">
        <w:rPr>
          <w:rFonts w:asciiTheme="minorHAnsi" w:hAnsiTheme="minorHAnsi"/>
          <w:sz w:val="20"/>
          <w:szCs w:val="20"/>
          <w:lang w:val="sr-Cyrl-CS" w:eastAsia="sr-Cyrl-CS"/>
        </w:rPr>
        <w:t>2,87%</w:t>
      </w:r>
      <w:r w:rsidR="00823B1A">
        <w:rPr>
          <w:rFonts w:asciiTheme="minorHAnsi" w:hAnsiTheme="minorHAnsi"/>
          <w:sz w:val="20"/>
          <w:szCs w:val="20"/>
          <w:lang w:val="sr-Cyrl-CS" w:eastAsia="sr-Cyrl-CS"/>
        </w:rPr>
        <w:t xml:space="preserve"> или 329.951,11 КМ у апсолутном износу</w:t>
      </w:r>
      <w:r w:rsidRPr="008C6F9F">
        <w:rPr>
          <w:rFonts w:asciiTheme="minorHAnsi" w:hAnsiTheme="minorHAnsi"/>
          <w:sz w:val="20"/>
          <w:szCs w:val="20"/>
          <w:lang w:val="sr-Cyrl-CS" w:eastAsia="sr-Cyrl-CS"/>
        </w:rPr>
        <w:t>.</w:t>
      </w:r>
    </w:p>
    <w:p w14:paraId="39C07CA9" w14:textId="7EBDB633" w:rsidR="009D59E8" w:rsidRPr="009A46DA" w:rsidRDefault="00823B1A" w:rsidP="001538EF">
      <w:pPr>
        <w:rPr>
          <w:rFonts w:asciiTheme="minorHAnsi" w:hAnsiTheme="minorHAnsi"/>
          <w:sz w:val="20"/>
          <w:szCs w:val="20"/>
          <w:lang w:val="sr-Latn-BA" w:eastAsia="sr-Cyrl-CS"/>
        </w:rPr>
      </w:pPr>
      <w:r>
        <w:rPr>
          <w:rFonts w:asciiTheme="minorHAnsi" w:hAnsiTheme="minorHAnsi"/>
          <w:sz w:val="20"/>
          <w:szCs w:val="20"/>
          <w:lang w:val="sr-Cyrl-CS" w:eastAsia="sr-Cyrl-CS"/>
        </w:rPr>
        <w:t xml:space="preserve">У односу на 2022. годину, дошло је до раста улагања у обвезнице локалних </w:t>
      </w:r>
      <w:r w:rsidR="00170349">
        <w:rPr>
          <w:rFonts w:asciiTheme="minorHAnsi" w:hAnsiTheme="minorHAnsi"/>
          <w:sz w:val="20"/>
          <w:szCs w:val="20"/>
          <w:lang w:val="sr-Cyrl-CS" w:eastAsia="sr-Cyrl-CS"/>
        </w:rPr>
        <w:t>заједница и привредних друштава.</w:t>
      </w:r>
    </w:p>
    <w:p w14:paraId="287B2335" w14:textId="77777777" w:rsidR="009D59E8" w:rsidRDefault="009D59E8" w:rsidP="001538EF">
      <w:pPr>
        <w:rPr>
          <w:rFonts w:asciiTheme="minorHAnsi" w:hAnsiTheme="minorHAnsi"/>
          <w:sz w:val="20"/>
          <w:szCs w:val="20"/>
          <w:lang w:val="sr-Cyrl-CS" w:eastAsia="sr-Cyrl-CS"/>
        </w:rPr>
      </w:pPr>
    </w:p>
    <w:p w14:paraId="52BC2D21" w14:textId="18C0B91B" w:rsidR="00823B1A" w:rsidRPr="009A46DA" w:rsidRDefault="00823B1A" w:rsidP="009A46DA">
      <w:pPr>
        <w:jc w:val="center"/>
        <w:rPr>
          <w:rFonts w:asciiTheme="minorHAnsi" w:hAnsiTheme="minorHAnsi"/>
          <w:b/>
          <w:sz w:val="20"/>
          <w:szCs w:val="20"/>
          <w:lang w:val="sr-Latn-BA" w:eastAsia="sr-Cyrl-CS"/>
        </w:rPr>
      </w:pPr>
      <w:r>
        <w:rPr>
          <w:rFonts w:asciiTheme="minorHAnsi" w:hAnsiTheme="minorHAnsi"/>
          <w:b/>
          <w:sz w:val="20"/>
          <w:szCs w:val="20"/>
          <w:lang w:val="sr-Cyrl-CS" w:eastAsia="sr-Cyrl-CS"/>
        </w:rPr>
        <w:t xml:space="preserve">Аналитички </w:t>
      </w:r>
      <w:r w:rsidR="00A3089B">
        <w:rPr>
          <w:rFonts w:asciiTheme="minorHAnsi" w:hAnsiTheme="minorHAnsi"/>
          <w:b/>
          <w:sz w:val="20"/>
          <w:szCs w:val="20"/>
          <w:lang w:val="sr-Cyrl-CS" w:eastAsia="sr-Cyrl-CS"/>
        </w:rPr>
        <w:t>п</w:t>
      </w:r>
      <w:r w:rsidRPr="005767EF">
        <w:rPr>
          <w:rFonts w:asciiTheme="minorHAnsi" w:hAnsiTheme="minorHAnsi"/>
          <w:b/>
          <w:sz w:val="20"/>
          <w:szCs w:val="20"/>
          <w:lang w:val="sr-Cyrl-CS" w:eastAsia="sr-Cyrl-CS"/>
        </w:rPr>
        <w:t>реглед стања хартија од вриједности на дан 31.12.202</w:t>
      </w:r>
      <w:r>
        <w:rPr>
          <w:rFonts w:asciiTheme="minorHAnsi" w:hAnsiTheme="minorHAnsi"/>
          <w:b/>
          <w:sz w:val="20"/>
          <w:szCs w:val="20"/>
          <w:lang w:val="sr-Cyrl-CS" w:eastAsia="sr-Cyrl-CS"/>
        </w:rPr>
        <w:t>3</w:t>
      </w:r>
      <w:r w:rsidRPr="005767EF">
        <w:rPr>
          <w:rFonts w:asciiTheme="minorHAnsi" w:hAnsiTheme="minorHAnsi"/>
          <w:b/>
          <w:sz w:val="20"/>
          <w:szCs w:val="20"/>
          <w:lang w:val="sr-Cyrl-CS" w:eastAsia="sr-Cyrl-CS"/>
        </w:rPr>
        <w:t>. године</w:t>
      </w:r>
      <w:r>
        <w:rPr>
          <w:rFonts w:asciiTheme="minorHAnsi" w:hAnsiTheme="minorHAnsi"/>
          <w:b/>
          <w:sz w:val="20"/>
          <w:szCs w:val="20"/>
          <w:lang w:val="sr-Cyrl-CS" w:eastAsia="sr-Cyrl-CS"/>
        </w:rPr>
        <w:t xml:space="preserve"> </w:t>
      </w:r>
    </w:p>
    <w:p w14:paraId="181C1E29" w14:textId="77777777" w:rsidR="00823B1A" w:rsidRDefault="00AF0599" w:rsidP="00AF0599">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val="sr-Cyrl-BA" w:eastAsia="en-US"/>
        </w:rPr>
        <w:t xml:space="preserve">     Табела 29</w:t>
      </w:r>
    </w:p>
    <w:tbl>
      <w:tblPr>
        <w:tblW w:w="9087" w:type="dxa"/>
        <w:tblInd w:w="93" w:type="dxa"/>
        <w:tblLayout w:type="fixed"/>
        <w:tblLook w:val="04A0" w:firstRow="1" w:lastRow="0" w:firstColumn="1" w:lastColumn="0" w:noHBand="0" w:noVBand="1"/>
      </w:tblPr>
      <w:tblGrid>
        <w:gridCol w:w="15"/>
        <w:gridCol w:w="530"/>
        <w:gridCol w:w="993"/>
        <w:gridCol w:w="6"/>
        <w:gridCol w:w="12"/>
        <w:gridCol w:w="1104"/>
        <w:gridCol w:w="21"/>
        <w:gridCol w:w="874"/>
        <w:gridCol w:w="996"/>
        <w:gridCol w:w="855"/>
        <w:gridCol w:w="995"/>
        <w:gridCol w:w="854"/>
        <w:gridCol w:w="24"/>
        <w:gridCol w:w="971"/>
        <w:gridCol w:w="24"/>
        <w:gridCol w:w="813"/>
      </w:tblGrid>
      <w:tr w:rsidR="00C442DB" w:rsidRPr="00C442DB" w14:paraId="10849D11" w14:textId="77777777" w:rsidTr="009A46DA">
        <w:trPr>
          <w:trHeight w:val="720"/>
        </w:trPr>
        <w:tc>
          <w:tcPr>
            <w:tcW w:w="545"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09BDD633" w14:textId="77777777" w:rsidR="00C442DB" w:rsidRPr="00C442DB" w:rsidRDefault="00C442DB" w:rsidP="00C442DB">
            <w:pPr>
              <w:jc w:val="center"/>
              <w:rPr>
                <w:rFonts w:ascii="Calibri" w:hAnsi="Calibri"/>
                <w:b/>
                <w:bCs/>
                <w:sz w:val="16"/>
                <w:szCs w:val="16"/>
              </w:rPr>
            </w:pPr>
            <w:bookmarkStart w:id="18" w:name="_Hlk170214428"/>
            <w:r w:rsidRPr="00C442DB">
              <w:rPr>
                <w:rFonts w:ascii="Calibri" w:hAnsi="Calibri"/>
                <w:b/>
                <w:bCs/>
                <w:sz w:val="16"/>
                <w:szCs w:val="16"/>
              </w:rPr>
              <w:t>РЕД. БР</w:t>
            </w:r>
          </w:p>
        </w:tc>
        <w:tc>
          <w:tcPr>
            <w:tcW w:w="993" w:type="dxa"/>
            <w:tcBorders>
              <w:top w:val="single" w:sz="4" w:space="0" w:color="auto"/>
              <w:left w:val="nil"/>
              <w:bottom w:val="single" w:sz="4" w:space="0" w:color="auto"/>
              <w:right w:val="single" w:sz="4" w:space="0" w:color="auto"/>
            </w:tcBorders>
            <w:shd w:val="clear" w:color="000000" w:fill="8DB4E2"/>
            <w:vAlign w:val="center"/>
            <w:hideMark/>
          </w:tcPr>
          <w:p w14:paraId="52CF2B0F"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ОЗНАКА ХОВ</w:t>
            </w:r>
          </w:p>
        </w:tc>
        <w:tc>
          <w:tcPr>
            <w:tcW w:w="1122" w:type="dxa"/>
            <w:gridSpan w:val="3"/>
            <w:tcBorders>
              <w:top w:val="single" w:sz="4" w:space="0" w:color="auto"/>
              <w:left w:val="nil"/>
              <w:bottom w:val="single" w:sz="4" w:space="0" w:color="auto"/>
              <w:right w:val="single" w:sz="4" w:space="0" w:color="auto"/>
            </w:tcBorders>
            <w:shd w:val="clear" w:color="000000" w:fill="8DB4E2"/>
            <w:noWrap/>
            <w:vAlign w:val="center"/>
            <w:hideMark/>
          </w:tcPr>
          <w:p w14:paraId="70B3B1B1"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ИЗНОС ЕМИСИЈЕ</w:t>
            </w:r>
          </w:p>
        </w:tc>
        <w:tc>
          <w:tcPr>
            <w:tcW w:w="895" w:type="dxa"/>
            <w:gridSpan w:val="2"/>
            <w:tcBorders>
              <w:top w:val="single" w:sz="4" w:space="0" w:color="auto"/>
              <w:left w:val="nil"/>
              <w:bottom w:val="single" w:sz="4" w:space="0" w:color="auto"/>
              <w:right w:val="single" w:sz="4" w:space="0" w:color="auto"/>
            </w:tcBorders>
            <w:shd w:val="clear" w:color="000000" w:fill="8DB4E2"/>
            <w:vAlign w:val="center"/>
            <w:hideMark/>
          </w:tcPr>
          <w:p w14:paraId="38B4CBF0"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БРОЈ ОБВЕЗНИЦА</w:t>
            </w:r>
          </w:p>
        </w:tc>
        <w:tc>
          <w:tcPr>
            <w:tcW w:w="996" w:type="dxa"/>
            <w:tcBorders>
              <w:top w:val="single" w:sz="4" w:space="0" w:color="auto"/>
              <w:left w:val="nil"/>
              <w:bottom w:val="single" w:sz="4" w:space="0" w:color="auto"/>
              <w:right w:val="single" w:sz="4" w:space="0" w:color="auto"/>
            </w:tcBorders>
            <w:shd w:val="clear" w:color="000000" w:fill="8DB4E2"/>
            <w:vAlign w:val="center"/>
            <w:hideMark/>
          </w:tcPr>
          <w:p w14:paraId="0B007AC0"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КУПЉЕНИ ИЗНОС</w:t>
            </w:r>
          </w:p>
        </w:tc>
        <w:tc>
          <w:tcPr>
            <w:tcW w:w="855" w:type="dxa"/>
            <w:tcBorders>
              <w:top w:val="single" w:sz="4" w:space="0" w:color="auto"/>
              <w:left w:val="nil"/>
              <w:bottom w:val="single" w:sz="4" w:space="0" w:color="auto"/>
              <w:right w:val="single" w:sz="4" w:space="0" w:color="auto"/>
            </w:tcBorders>
            <w:shd w:val="clear" w:color="000000" w:fill="8DB4E2"/>
            <w:vAlign w:val="center"/>
            <w:hideMark/>
          </w:tcPr>
          <w:p w14:paraId="2C71D2F2"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КАМАТНА СТОПА</w:t>
            </w:r>
          </w:p>
        </w:tc>
        <w:tc>
          <w:tcPr>
            <w:tcW w:w="995" w:type="dxa"/>
            <w:tcBorders>
              <w:top w:val="single" w:sz="4" w:space="0" w:color="auto"/>
              <w:left w:val="nil"/>
              <w:bottom w:val="single" w:sz="4" w:space="0" w:color="auto"/>
              <w:right w:val="single" w:sz="4" w:space="0" w:color="auto"/>
            </w:tcBorders>
            <w:shd w:val="clear" w:color="000000" w:fill="8DB4E2"/>
            <w:vAlign w:val="center"/>
            <w:hideMark/>
          </w:tcPr>
          <w:p w14:paraId="25B6546C"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СТАЊЕ НА ДАН 31.12.2023</w:t>
            </w:r>
          </w:p>
        </w:tc>
        <w:tc>
          <w:tcPr>
            <w:tcW w:w="878" w:type="dxa"/>
            <w:gridSpan w:val="2"/>
            <w:tcBorders>
              <w:top w:val="single" w:sz="4" w:space="0" w:color="auto"/>
              <w:left w:val="nil"/>
              <w:bottom w:val="single" w:sz="4" w:space="0" w:color="auto"/>
              <w:right w:val="single" w:sz="4" w:space="0" w:color="auto"/>
            </w:tcBorders>
            <w:shd w:val="clear" w:color="000000" w:fill="8DB4E2"/>
            <w:noWrap/>
            <w:vAlign w:val="center"/>
            <w:hideMark/>
          </w:tcPr>
          <w:p w14:paraId="5ED18A26"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КАПИТАЛИСАЊЕ</w:t>
            </w:r>
          </w:p>
        </w:tc>
        <w:tc>
          <w:tcPr>
            <w:tcW w:w="995" w:type="dxa"/>
            <w:gridSpan w:val="2"/>
            <w:tcBorders>
              <w:top w:val="single" w:sz="4" w:space="0" w:color="auto"/>
              <w:left w:val="nil"/>
              <w:bottom w:val="single" w:sz="4" w:space="0" w:color="auto"/>
              <w:right w:val="single" w:sz="4" w:space="0" w:color="auto"/>
            </w:tcBorders>
            <w:shd w:val="clear" w:color="000000" w:fill="8DB4E2"/>
            <w:vAlign w:val="center"/>
            <w:hideMark/>
          </w:tcPr>
          <w:p w14:paraId="27ADC89F" w14:textId="77777777" w:rsidR="00C442DB" w:rsidRPr="00C442DB" w:rsidRDefault="00C442DB" w:rsidP="006C1A84">
            <w:pPr>
              <w:ind w:right="-71"/>
              <w:jc w:val="center"/>
              <w:rPr>
                <w:rFonts w:ascii="Calibri" w:hAnsi="Calibri"/>
                <w:b/>
                <w:bCs/>
                <w:sz w:val="16"/>
                <w:szCs w:val="16"/>
              </w:rPr>
            </w:pPr>
            <w:r w:rsidRPr="00C442DB">
              <w:rPr>
                <w:rFonts w:ascii="Calibri" w:hAnsi="Calibri"/>
                <w:b/>
                <w:bCs/>
                <w:sz w:val="16"/>
                <w:szCs w:val="16"/>
              </w:rPr>
              <w:t>ДАТУМ ДОСП</w:t>
            </w:r>
            <w:r w:rsidR="006C1A84">
              <w:rPr>
                <w:rFonts w:ascii="Calibri" w:hAnsi="Calibri"/>
                <w:b/>
                <w:bCs/>
                <w:sz w:val="16"/>
                <w:szCs w:val="16"/>
                <w:lang w:val="sr-Cyrl-RS"/>
              </w:rPr>
              <w:t>И</w:t>
            </w:r>
            <w:r w:rsidRPr="00C442DB">
              <w:rPr>
                <w:rFonts w:ascii="Calibri" w:hAnsi="Calibri"/>
                <w:b/>
                <w:bCs/>
                <w:sz w:val="16"/>
                <w:szCs w:val="16"/>
              </w:rPr>
              <w:t>ЈЕЋА</w:t>
            </w:r>
          </w:p>
        </w:tc>
        <w:tc>
          <w:tcPr>
            <w:tcW w:w="813" w:type="dxa"/>
            <w:tcBorders>
              <w:top w:val="single" w:sz="4" w:space="0" w:color="auto"/>
              <w:left w:val="nil"/>
              <w:bottom w:val="single" w:sz="4" w:space="0" w:color="auto"/>
              <w:right w:val="single" w:sz="4" w:space="0" w:color="auto"/>
            </w:tcBorders>
            <w:shd w:val="clear" w:color="000000" w:fill="8DB4E2"/>
            <w:vAlign w:val="center"/>
            <w:hideMark/>
          </w:tcPr>
          <w:p w14:paraId="50F6360E" w14:textId="77777777" w:rsidR="00C442DB" w:rsidRPr="00C442DB" w:rsidRDefault="00C442DB" w:rsidP="006C1A84">
            <w:pPr>
              <w:ind w:left="-145" w:right="-61"/>
              <w:jc w:val="center"/>
              <w:rPr>
                <w:rFonts w:ascii="Calibri" w:hAnsi="Calibri"/>
                <w:b/>
                <w:bCs/>
                <w:sz w:val="16"/>
                <w:szCs w:val="16"/>
              </w:rPr>
            </w:pPr>
            <w:r w:rsidRPr="00C442DB">
              <w:rPr>
                <w:rFonts w:ascii="Calibri" w:hAnsi="Calibri"/>
                <w:b/>
                <w:bCs/>
                <w:sz w:val="16"/>
                <w:szCs w:val="16"/>
              </w:rPr>
              <w:t>ДАТУМ ДОСП</w:t>
            </w:r>
            <w:r w:rsidR="006C1A84">
              <w:rPr>
                <w:rFonts w:ascii="Calibri" w:hAnsi="Calibri"/>
                <w:b/>
                <w:bCs/>
                <w:sz w:val="16"/>
                <w:szCs w:val="16"/>
                <w:lang w:val="sr-Cyrl-RS"/>
              </w:rPr>
              <w:t>И</w:t>
            </w:r>
            <w:r w:rsidRPr="00C442DB">
              <w:rPr>
                <w:rFonts w:ascii="Calibri" w:hAnsi="Calibri"/>
                <w:b/>
                <w:bCs/>
                <w:sz w:val="16"/>
                <w:szCs w:val="16"/>
              </w:rPr>
              <w:t>ЈЕЋА КУПОНА</w:t>
            </w:r>
          </w:p>
        </w:tc>
      </w:tr>
      <w:bookmarkEnd w:id="18"/>
      <w:tr w:rsidR="00C442DB" w:rsidRPr="00C442DB" w14:paraId="2198992B"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8A50D2" w14:textId="77777777" w:rsidR="00C442DB" w:rsidRPr="00C442DB" w:rsidRDefault="00C442DB" w:rsidP="00C442DB">
            <w:pPr>
              <w:jc w:val="center"/>
              <w:rPr>
                <w:rFonts w:ascii="Calibri" w:hAnsi="Calibri"/>
                <w:sz w:val="16"/>
                <w:szCs w:val="16"/>
              </w:rPr>
            </w:pPr>
            <w:r w:rsidRPr="00C442DB">
              <w:rPr>
                <w:rFonts w:ascii="Calibri" w:hAnsi="Calibri"/>
                <w:sz w:val="16"/>
                <w:szCs w:val="16"/>
              </w:rPr>
              <w:t>1</w:t>
            </w:r>
          </w:p>
        </w:tc>
        <w:tc>
          <w:tcPr>
            <w:tcW w:w="993" w:type="dxa"/>
            <w:tcBorders>
              <w:top w:val="nil"/>
              <w:left w:val="nil"/>
              <w:bottom w:val="single" w:sz="4" w:space="0" w:color="auto"/>
              <w:right w:val="single" w:sz="4" w:space="0" w:color="auto"/>
            </w:tcBorders>
            <w:shd w:val="clear" w:color="auto" w:fill="auto"/>
            <w:noWrap/>
            <w:vAlign w:val="bottom"/>
            <w:hideMark/>
          </w:tcPr>
          <w:p w14:paraId="374B523F" w14:textId="77777777" w:rsidR="00C442DB" w:rsidRPr="00C442DB" w:rsidRDefault="00C442DB" w:rsidP="00C442DB">
            <w:pPr>
              <w:jc w:val="left"/>
              <w:rPr>
                <w:rFonts w:ascii="Calibri" w:hAnsi="Calibri"/>
                <w:sz w:val="16"/>
                <w:szCs w:val="16"/>
              </w:rPr>
            </w:pPr>
            <w:r w:rsidRPr="00C442DB">
              <w:rPr>
                <w:rFonts w:ascii="Calibri" w:hAnsi="Calibri"/>
                <w:sz w:val="16"/>
                <w:szCs w:val="16"/>
              </w:rPr>
              <w:t>RSBD-O44</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F9EF91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0C644F6"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0150834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w:t>
            </w:r>
          </w:p>
        </w:tc>
        <w:tc>
          <w:tcPr>
            <w:tcW w:w="855" w:type="dxa"/>
            <w:tcBorders>
              <w:top w:val="nil"/>
              <w:left w:val="nil"/>
              <w:bottom w:val="single" w:sz="4" w:space="0" w:color="auto"/>
              <w:right w:val="single" w:sz="4" w:space="0" w:color="auto"/>
            </w:tcBorders>
            <w:shd w:val="clear" w:color="auto" w:fill="auto"/>
            <w:noWrap/>
            <w:vAlign w:val="bottom"/>
            <w:hideMark/>
          </w:tcPr>
          <w:p w14:paraId="08C8586A"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08F4A165"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BE0583A"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8A57190" w14:textId="77777777" w:rsidR="00C442DB" w:rsidRPr="00C442DB" w:rsidRDefault="00C442DB" w:rsidP="00C442DB">
            <w:pPr>
              <w:jc w:val="left"/>
              <w:rPr>
                <w:rFonts w:ascii="Calibri" w:hAnsi="Calibri"/>
                <w:sz w:val="16"/>
                <w:szCs w:val="16"/>
              </w:rPr>
            </w:pPr>
            <w:r w:rsidRPr="00C442DB">
              <w:rPr>
                <w:rFonts w:ascii="Calibri" w:hAnsi="Calibri"/>
                <w:sz w:val="16"/>
                <w:szCs w:val="16"/>
              </w:rPr>
              <w:t>27.09.2028.</w:t>
            </w:r>
          </w:p>
        </w:tc>
        <w:tc>
          <w:tcPr>
            <w:tcW w:w="813" w:type="dxa"/>
            <w:tcBorders>
              <w:top w:val="nil"/>
              <w:left w:val="nil"/>
              <w:bottom w:val="single" w:sz="4" w:space="0" w:color="auto"/>
              <w:right w:val="single" w:sz="4" w:space="0" w:color="auto"/>
            </w:tcBorders>
            <w:shd w:val="clear" w:color="auto" w:fill="auto"/>
            <w:noWrap/>
            <w:vAlign w:val="bottom"/>
            <w:hideMark/>
          </w:tcPr>
          <w:p w14:paraId="5E028441" w14:textId="77777777" w:rsidR="00C442DB" w:rsidRPr="00C442DB" w:rsidRDefault="00AF0599" w:rsidP="00C442DB">
            <w:pPr>
              <w:ind w:right="-108"/>
              <w:jc w:val="left"/>
              <w:rPr>
                <w:rFonts w:ascii="Calibri" w:hAnsi="Calibri"/>
                <w:sz w:val="16"/>
                <w:szCs w:val="16"/>
                <w:lang w:val="sr-Cyrl-RS"/>
              </w:rPr>
            </w:pPr>
            <w:r>
              <w:rPr>
                <w:rFonts w:ascii="Calibri" w:hAnsi="Calibri"/>
                <w:sz w:val="16"/>
                <w:szCs w:val="16"/>
              </w:rPr>
              <w:t>27.09.2024</w:t>
            </w:r>
          </w:p>
        </w:tc>
      </w:tr>
      <w:tr w:rsidR="00C442DB" w:rsidRPr="00C442DB" w14:paraId="06E4BC79"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38BB25" w14:textId="77777777" w:rsidR="00C442DB" w:rsidRPr="00C442DB" w:rsidRDefault="00C442DB" w:rsidP="00C442DB">
            <w:pPr>
              <w:jc w:val="center"/>
              <w:rPr>
                <w:rFonts w:ascii="Calibri" w:hAnsi="Calibri"/>
                <w:sz w:val="16"/>
                <w:szCs w:val="16"/>
              </w:rPr>
            </w:pPr>
            <w:r w:rsidRPr="00C442DB">
              <w:rPr>
                <w:rFonts w:ascii="Calibri" w:hAnsi="Calibri"/>
                <w:sz w:val="16"/>
                <w:szCs w:val="16"/>
              </w:rPr>
              <w:t>2</w:t>
            </w:r>
          </w:p>
        </w:tc>
        <w:tc>
          <w:tcPr>
            <w:tcW w:w="993" w:type="dxa"/>
            <w:tcBorders>
              <w:top w:val="nil"/>
              <w:left w:val="nil"/>
              <w:bottom w:val="single" w:sz="4" w:space="0" w:color="auto"/>
              <w:right w:val="single" w:sz="4" w:space="0" w:color="auto"/>
            </w:tcBorders>
            <w:shd w:val="clear" w:color="auto" w:fill="auto"/>
            <w:noWrap/>
            <w:vAlign w:val="bottom"/>
            <w:hideMark/>
          </w:tcPr>
          <w:p w14:paraId="797060F1" w14:textId="77777777" w:rsidR="00C442DB" w:rsidRPr="00C442DB" w:rsidRDefault="00C442DB" w:rsidP="00C442DB">
            <w:pPr>
              <w:jc w:val="left"/>
              <w:rPr>
                <w:rFonts w:ascii="Calibri" w:hAnsi="Calibri"/>
                <w:sz w:val="16"/>
                <w:szCs w:val="16"/>
              </w:rPr>
            </w:pPr>
            <w:r w:rsidRPr="00C442DB">
              <w:rPr>
                <w:rFonts w:ascii="Calibri" w:hAnsi="Calibri"/>
                <w:sz w:val="16"/>
                <w:szCs w:val="16"/>
              </w:rPr>
              <w:t>RSBD-O-03</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6743E9F8"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25.000.000,00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3373C901" w14:textId="77777777" w:rsidR="00C442DB" w:rsidRPr="00C442DB" w:rsidRDefault="00C442DB" w:rsidP="00C442DB">
            <w:pPr>
              <w:jc w:val="right"/>
              <w:rPr>
                <w:rFonts w:ascii="Calibri" w:hAnsi="Calibri"/>
                <w:sz w:val="16"/>
                <w:szCs w:val="16"/>
              </w:rPr>
            </w:pPr>
            <w:r w:rsidRPr="00C442DB">
              <w:rPr>
                <w:rFonts w:ascii="Calibri" w:hAnsi="Calibri"/>
                <w:sz w:val="16"/>
                <w:szCs w:val="16"/>
              </w:rPr>
              <w:t>1.450</w:t>
            </w:r>
          </w:p>
        </w:tc>
        <w:tc>
          <w:tcPr>
            <w:tcW w:w="996" w:type="dxa"/>
            <w:tcBorders>
              <w:top w:val="nil"/>
              <w:left w:val="nil"/>
              <w:bottom w:val="single" w:sz="4" w:space="0" w:color="auto"/>
              <w:right w:val="single" w:sz="4" w:space="0" w:color="auto"/>
            </w:tcBorders>
            <w:shd w:val="clear" w:color="auto" w:fill="auto"/>
            <w:noWrap/>
            <w:vAlign w:val="bottom"/>
            <w:hideMark/>
          </w:tcPr>
          <w:p w14:paraId="7BF2F324"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1.468.850,00</w:t>
            </w:r>
          </w:p>
        </w:tc>
        <w:tc>
          <w:tcPr>
            <w:tcW w:w="855" w:type="dxa"/>
            <w:tcBorders>
              <w:top w:val="nil"/>
              <w:left w:val="nil"/>
              <w:bottom w:val="single" w:sz="4" w:space="0" w:color="auto"/>
              <w:right w:val="single" w:sz="4" w:space="0" w:color="auto"/>
            </w:tcBorders>
            <w:shd w:val="clear" w:color="auto" w:fill="auto"/>
            <w:noWrap/>
            <w:vAlign w:val="bottom"/>
            <w:hideMark/>
          </w:tcPr>
          <w:p w14:paraId="3266ACBB"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27FD5721"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1.468.850,00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3D04549F"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6A2F241D" w14:textId="77777777" w:rsidR="00C442DB" w:rsidRPr="00C442DB" w:rsidRDefault="00C442DB" w:rsidP="00C442DB">
            <w:pPr>
              <w:jc w:val="left"/>
              <w:rPr>
                <w:rFonts w:ascii="Calibri" w:hAnsi="Calibri"/>
                <w:sz w:val="16"/>
                <w:szCs w:val="16"/>
              </w:rPr>
            </w:pPr>
            <w:r w:rsidRPr="00C442DB">
              <w:rPr>
                <w:rFonts w:ascii="Calibri" w:hAnsi="Calibri"/>
                <w:sz w:val="16"/>
                <w:szCs w:val="16"/>
              </w:rPr>
              <w:t>21.06.2027.</w:t>
            </w:r>
          </w:p>
        </w:tc>
        <w:tc>
          <w:tcPr>
            <w:tcW w:w="813" w:type="dxa"/>
            <w:tcBorders>
              <w:top w:val="nil"/>
              <w:left w:val="nil"/>
              <w:bottom w:val="single" w:sz="4" w:space="0" w:color="auto"/>
              <w:right w:val="single" w:sz="4" w:space="0" w:color="auto"/>
            </w:tcBorders>
            <w:shd w:val="clear" w:color="auto" w:fill="auto"/>
            <w:noWrap/>
            <w:vAlign w:val="bottom"/>
            <w:hideMark/>
          </w:tcPr>
          <w:p w14:paraId="2D8949E6"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681B0110"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1F1F1D" w14:textId="77777777" w:rsidR="00C442DB" w:rsidRPr="00C442DB" w:rsidRDefault="00C442DB" w:rsidP="00C442DB">
            <w:pPr>
              <w:jc w:val="center"/>
              <w:rPr>
                <w:rFonts w:ascii="Calibri" w:hAnsi="Calibri"/>
                <w:sz w:val="16"/>
                <w:szCs w:val="16"/>
              </w:rPr>
            </w:pPr>
            <w:r w:rsidRPr="00C442DB">
              <w:rPr>
                <w:rFonts w:ascii="Calibri" w:hAnsi="Calibri"/>
                <w:sz w:val="16"/>
                <w:szCs w:val="16"/>
              </w:rPr>
              <w:t>3</w:t>
            </w:r>
          </w:p>
        </w:tc>
        <w:tc>
          <w:tcPr>
            <w:tcW w:w="993" w:type="dxa"/>
            <w:tcBorders>
              <w:top w:val="nil"/>
              <w:left w:val="nil"/>
              <w:bottom w:val="single" w:sz="4" w:space="0" w:color="auto"/>
              <w:right w:val="single" w:sz="4" w:space="0" w:color="auto"/>
            </w:tcBorders>
            <w:shd w:val="clear" w:color="auto" w:fill="auto"/>
            <w:noWrap/>
            <w:vAlign w:val="bottom"/>
            <w:hideMark/>
          </w:tcPr>
          <w:p w14:paraId="14F95502" w14:textId="77777777" w:rsidR="00C442DB" w:rsidRPr="00C442DB" w:rsidRDefault="00C442DB" w:rsidP="00C442DB">
            <w:pPr>
              <w:jc w:val="left"/>
              <w:rPr>
                <w:rFonts w:ascii="Calibri" w:hAnsi="Calibri"/>
                <w:sz w:val="16"/>
                <w:szCs w:val="16"/>
              </w:rPr>
            </w:pPr>
            <w:r w:rsidRPr="00C442DB">
              <w:rPr>
                <w:rFonts w:ascii="Calibri" w:hAnsi="Calibri"/>
                <w:sz w:val="16"/>
                <w:szCs w:val="16"/>
              </w:rPr>
              <w:t>RSBD-O-08  (4 kupona)</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C3EED6B"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5526E47B"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50182EE1"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1.505.250,00</w:t>
            </w:r>
          </w:p>
        </w:tc>
        <w:tc>
          <w:tcPr>
            <w:tcW w:w="855" w:type="dxa"/>
            <w:tcBorders>
              <w:top w:val="nil"/>
              <w:left w:val="nil"/>
              <w:bottom w:val="single" w:sz="4" w:space="0" w:color="auto"/>
              <w:right w:val="single" w:sz="4" w:space="0" w:color="auto"/>
            </w:tcBorders>
            <w:shd w:val="clear" w:color="auto" w:fill="auto"/>
            <w:noWrap/>
            <w:vAlign w:val="bottom"/>
            <w:hideMark/>
          </w:tcPr>
          <w:p w14:paraId="4ACB52AB"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752F374B"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5.250,00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F693BE5"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732B9F93" w14:textId="77777777" w:rsidR="00C442DB" w:rsidRPr="00C442DB" w:rsidRDefault="00C442DB" w:rsidP="00C442DB">
            <w:pPr>
              <w:jc w:val="left"/>
              <w:rPr>
                <w:rFonts w:ascii="Calibri" w:hAnsi="Calibri"/>
                <w:sz w:val="16"/>
                <w:szCs w:val="16"/>
              </w:rPr>
            </w:pPr>
            <w:r w:rsidRPr="00C442DB">
              <w:rPr>
                <w:rFonts w:ascii="Calibri" w:hAnsi="Calibri"/>
                <w:sz w:val="16"/>
                <w:szCs w:val="16"/>
              </w:rPr>
              <w:t>31.01.2023.</w:t>
            </w:r>
          </w:p>
        </w:tc>
        <w:tc>
          <w:tcPr>
            <w:tcW w:w="813" w:type="dxa"/>
            <w:tcBorders>
              <w:top w:val="nil"/>
              <w:left w:val="nil"/>
              <w:bottom w:val="single" w:sz="4" w:space="0" w:color="auto"/>
              <w:right w:val="single" w:sz="4" w:space="0" w:color="auto"/>
            </w:tcBorders>
            <w:shd w:val="clear" w:color="auto" w:fill="auto"/>
            <w:noWrap/>
            <w:vAlign w:val="bottom"/>
            <w:hideMark/>
          </w:tcPr>
          <w:p w14:paraId="6B95AD01"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6E6EF541"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F04ACD5" w14:textId="77777777" w:rsidR="00C442DB" w:rsidRPr="00C442DB" w:rsidRDefault="00C442DB" w:rsidP="00C442DB">
            <w:pPr>
              <w:jc w:val="center"/>
              <w:rPr>
                <w:rFonts w:ascii="Calibri" w:hAnsi="Calibri"/>
                <w:sz w:val="16"/>
                <w:szCs w:val="16"/>
              </w:rPr>
            </w:pPr>
            <w:r w:rsidRPr="00C442DB">
              <w:rPr>
                <w:rFonts w:ascii="Calibri" w:hAnsi="Calibri"/>
                <w:sz w:val="16"/>
                <w:szCs w:val="16"/>
              </w:rPr>
              <w:t>4</w:t>
            </w:r>
          </w:p>
        </w:tc>
        <w:tc>
          <w:tcPr>
            <w:tcW w:w="993" w:type="dxa"/>
            <w:tcBorders>
              <w:top w:val="nil"/>
              <w:left w:val="nil"/>
              <w:bottom w:val="single" w:sz="4" w:space="0" w:color="auto"/>
              <w:right w:val="single" w:sz="4" w:space="0" w:color="auto"/>
            </w:tcBorders>
            <w:shd w:val="clear" w:color="auto" w:fill="auto"/>
            <w:noWrap/>
            <w:vAlign w:val="bottom"/>
            <w:hideMark/>
          </w:tcPr>
          <w:p w14:paraId="21676868" w14:textId="77777777" w:rsidR="00C442DB" w:rsidRPr="00C442DB" w:rsidRDefault="00C442DB" w:rsidP="00C442DB">
            <w:pPr>
              <w:jc w:val="left"/>
              <w:rPr>
                <w:rFonts w:ascii="Calibri" w:hAnsi="Calibri"/>
                <w:sz w:val="16"/>
                <w:szCs w:val="16"/>
              </w:rPr>
            </w:pPr>
            <w:r w:rsidRPr="00C442DB">
              <w:rPr>
                <w:rFonts w:ascii="Calibri" w:hAnsi="Calibri"/>
                <w:sz w:val="16"/>
                <w:szCs w:val="16"/>
              </w:rPr>
              <w:t>RSBD-O09</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171D2F88"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55B52E66"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22C1EF86"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1.573.350,00</w:t>
            </w:r>
          </w:p>
        </w:tc>
        <w:tc>
          <w:tcPr>
            <w:tcW w:w="855" w:type="dxa"/>
            <w:tcBorders>
              <w:top w:val="nil"/>
              <w:left w:val="nil"/>
              <w:bottom w:val="single" w:sz="4" w:space="0" w:color="auto"/>
              <w:right w:val="single" w:sz="4" w:space="0" w:color="auto"/>
            </w:tcBorders>
            <w:shd w:val="clear" w:color="auto" w:fill="auto"/>
            <w:noWrap/>
            <w:vAlign w:val="bottom"/>
            <w:hideMark/>
          </w:tcPr>
          <w:p w14:paraId="050EB3D0"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2014D4A8"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1.573.350,00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A2EFD4F"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7B89617"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07.02.2024.</w:t>
            </w:r>
          </w:p>
        </w:tc>
        <w:tc>
          <w:tcPr>
            <w:tcW w:w="813" w:type="dxa"/>
            <w:tcBorders>
              <w:top w:val="nil"/>
              <w:left w:val="nil"/>
              <w:bottom w:val="single" w:sz="4" w:space="0" w:color="auto"/>
              <w:right w:val="single" w:sz="4" w:space="0" w:color="auto"/>
            </w:tcBorders>
            <w:shd w:val="clear" w:color="auto" w:fill="auto"/>
            <w:noWrap/>
            <w:vAlign w:val="bottom"/>
            <w:hideMark/>
          </w:tcPr>
          <w:p w14:paraId="5F62DAC1"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21448684"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1C3A1F8" w14:textId="77777777" w:rsidR="00C442DB" w:rsidRPr="00C442DB" w:rsidRDefault="00C442DB" w:rsidP="00C442DB">
            <w:pPr>
              <w:jc w:val="center"/>
              <w:rPr>
                <w:rFonts w:ascii="Calibri" w:hAnsi="Calibri"/>
                <w:sz w:val="16"/>
                <w:szCs w:val="16"/>
              </w:rPr>
            </w:pPr>
            <w:r w:rsidRPr="00C442DB">
              <w:rPr>
                <w:rFonts w:ascii="Calibri" w:hAnsi="Calibri"/>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14:paraId="39297B8A" w14:textId="77777777" w:rsidR="00C442DB" w:rsidRPr="00C442DB" w:rsidRDefault="00C442DB" w:rsidP="00C442DB">
            <w:pPr>
              <w:jc w:val="left"/>
              <w:rPr>
                <w:rFonts w:ascii="Calibri" w:hAnsi="Calibri"/>
                <w:sz w:val="16"/>
                <w:szCs w:val="16"/>
              </w:rPr>
            </w:pPr>
            <w:r w:rsidRPr="00C442DB">
              <w:rPr>
                <w:rFonts w:ascii="Calibri" w:hAnsi="Calibri"/>
                <w:sz w:val="16"/>
                <w:szCs w:val="16"/>
              </w:rPr>
              <w:t>RSBD-O10</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07752BD0"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36.000.000,00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351E7366"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6C3DE9AB"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1.061.000,00</w:t>
            </w:r>
          </w:p>
        </w:tc>
        <w:tc>
          <w:tcPr>
            <w:tcW w:w="855" w:type="dxa"/>
            <w:tcBorders>
              <w:top w:val="nil"/>
              <w:left w:val="nil"/>
              <w:bottom w:val="single" w:sz="4" w:space="0" w:color="auto"/>
              <w:right w:val="single" w:sz="4" w:space="0" w:color="auto"/>
            </w:tcBorders>
            <w:shd w:val="clear" w:color="auto" w:fill="auto"/>
            <w:noWrap/>
            <w:vAlign w:val="bottom"/>
            <w:hideMark/>
          </w:tcPr>
          <w:p w14:paraId="1E3A2841"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38270514"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1.061.000,00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BFAA456"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697F4970"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06.03.2024.</w:t>
            </w:r>
          </w:p>
        </w:tc>
        <w:tc>
          <w:tcPr>
            <w:tcW w:w="813" w:type="dxa"/>
            <w:tcBorders>
              <w:top w:val="nil"/>
              <w:left w:val="nil"/>
              <w:bottom w:val="single" w:sz="4" w:space="0" w:color="auto"/>
              <w:right w:val="single" w:sz="4" w:space="0" w:color="auto"/>
            </w:tcBorders>
            <w:shd w:val="clear" w:color="auto" w:fill="auto"/>
            <w:noWrap/>
            <w:vAlign w:val="bottom"/>
            <w:hideMark/>
          </w:tcPr>
          <w:p w14:paraId="5331317E"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6D30EE32"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E94454" w14:textId="77777777" w:rsidR="00C442DB" w:rsidRPr="00C442DB" w:rsidRDefault="00C442DB" w:rsidP="00C442DB">
            <w:pPr>
              <w:jc w:val="center"/>
              <w:rPr>
                <w:rFonts w:ascii="Calibri" w:hAnsi="Calibri"/>
                <w:sz w:val="16"/>
                <w:szCs w:val="16"/>
              </w:rPr>
            </w:pPr>
            <w:r w:rsidRPr="00C442DB">
              <w:rPr>
                <w:rFonts w:ascii="Calibri" w:hAnsi="Calibri"/>
                <w:sz w:val="16"/>
                <w:szCs w:val="16"/>
              </w:rPr>
              <w:t>6</w:t>
            </w:r>
          </w:p>
        </w:tc>
        <w:tc>
          <w:tcPr>
            <w:tcW w:w="993" w:type="dxa"/>
            <w:tcBorders>
              <w:top w:val="nil"/>
              <w:left w:val="nil"/>
              <w:bottom w:val="single" w:sz="4" w:space="0" w:color="auto"/>
              <w:right w:val="single" w:sz="4" w:space="0" w:color="auto"/>
            </w:tcBorders>
            <w:shd w:val="clear" w:color="auto" w:fill="auto"/>
            <w:noWrap/>
            <w:vAlign w:val="bottom"/>
            <w:hideMark/>
          </w:tcPr>
          <w:p w14:paraId="7BEF2434" w14:textId="77777777" w:rsidR="00C442DB" w:rsidRPr="00C442DB" w:rsidRDefault="00C442DB" w:rsidP="00C442DB">
            <w:pPr>
              <w:jc w:val="left"/>
              <w:rPr>
                <w:rFonts w:ascii="Calibri" w:hAnsi="Calibri"/>
                <w:sz w:val="16"/>
                <w:szCs w:val="16"/>
              </w:rPr>
            </w:pPr>
            <w:r w:rsidRPr="00C442DB">
              <w:rPr>
                <w:rFonts w:ascii="Calibri" w:hAnsi="Calibri"/>
                <w:sz w:val="16"/>
                <w:szCs w:val="16"/>
              </w:rPr>
              <w:t>RSBD-O11</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204CC8FE"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3CC7738B"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4AA868F9"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1.063.200,00</w:t>
            </w:r>
          </w:p>
        </w:tc>
        <w:tc>
          <w:tcPr>
            <w:tcW w:w="855" w:type="dxa"/>
            <w:tcBorders>
              <w:top w:val="nil"/>
              <w:left w:val="nil"/>
              <w:bottom w:val="single" w:sz="4" w:space="0" w:color="auto"/>
              <w:right w:val="single" w:sz="4" w:space="0" w:color="auto"/>
            </w:tcBorders>
            <w:shd w:val="clear" w:color="auto" w:fill="auto"/>
            <w:noWrap/>
            <w:vAlign w:val="bottom"/>
            <w:hideMark/>
          </w:tcPr>
          <w:p w14:paraId="39CFEB41" w14:textId="77777777" w:rsidR="00C442DB" w:rsidRPr="00C442DB" w:rsidRDefault="00C442DB" w:rsidP="00C442DB">
            <w:pPr>
              <w:jc w:val="right"/>
              <w:rPr>
                <w:rFonts w:ascii="Calibri" w:hAnsi="Calibri"/>
                <w:sz w:val="16"/>
                <w:szCs w:val="16"/>
              </w:rPr>
            </w:pPr>
            <w:r w:rsidRPr="00C442DB">
              <w:rPr>
                <w:rFonts w:ascii="Calibri" w:hAnsi="Calibri"/>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7880EB6F"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1.063.200,00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4D504D4"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7B26E419"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05.04.2029.</w:t>
            </w:r>
          </w:p>
        </w:tc>
        <w:tc>
          <w:tcPr>
            <w:tcW w:w="813" w:type="dxa"/>
            <w:tcBorders>
              <w:top w:val="nil"/>
              <w:left w:val="nil"/>
              <w:bottom w:val="single" w:sz="4" w:space="0" w:color="auto"/>
              <w:right w:val="single" w:sz="4" w:space="0" w:color="auto"/>
            </w:tcBorders>
            <w:shd w:val="clear" w:color="auto" w:fill="auto"/>
            <w:noWrap/>
            <w:vAlign w:val="bottom"/>
            <w:hideMark/>
          </w:tcPr>
          <w:p w14:paraId="1E097DEF"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183FD922"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2EF319" w14:textId="77777777" w:rsidR="00C442DB" w:rsidRPr="00C442DB" w:rsidRDefault="00C442DB" w:rsidP="00C442DB">
            <w:pPr>
              <w:jc w:val="center"/>
              <w:rPr>
                <w:rFonts w:ascii="Calibri" w:hAnsi="Calibri"/>
                <w:sz w:val="16"/>
                <w:szCs w:val="16"/>
              </w:rPr>
            </w:pPr>
            <w:r w:rsidRPr="00C442DB">
              <w:rPr>
                <w:rFonts w:ascii="Calibri" w:hAnsi="Calibri"/>
                <w:sz w:val="16"/>
                <w:szCs w:val="16"/>
              </w:rPr>
              <w:t>7</w:t>
            </w:r>
          </w:p>
        </w:tc>
        <w:tc>
          <w:tcPr>
            <w:tcW w:w="993" w:type="dxa"/>
            <w:tcBorders>
              <w:top w:val="nil"/>
              <w:left w:val="nil"/>
              <w:bottom w:val="single" w:sz="4" w:space="0" w:color="auto"/>
              <w:right w:val="single" w:sz="4" w:space="0" w:color="auto"/>
            </w:tcBorders>
            <w:shd w:val="clear" w:color="auto" w:fill="auto"/>
            <w:noWrap/>
            <w:vAlign w:val="bottom"/>
            <w:hideMark/>
          </w:tcPr>
          <w:p w14:paraId="6930AE2B" w14:textId="77777777" w:rsidR="00C442DB" w:rsidRPr="00C442DB" w:rsidRDefault="00C442DB" w:rsidP="00C442DB">
            <w:pPr>
              <w:jc w:val="left"/>
              <w:rPr>
                <w:rFonts w:ascii="Calibri" w:hAnsi="Calibri"/>
                <w:sz w:val="16"/>
                <w:szCs w:val="16"/>
              </w:rPr>
            </w:pPr>
            <w:r w:rsidRPr="00C442DB">
              <w:rPr>
                <w:rFonts w:ascii="Calibri" w:hAnsi="Calibri"/>
                <w:sz w:val="16"/>
                <w:szCs w:val="16"/>
              </w:rPr>
              <w:t>RSBD-013</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0B968848"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28F6F1C6"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24A5F49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1.070.700,00</w:t>
            </w:r>
          </w:p>
        </w:tc>
        <w:tc>
          <w:tcPr>
            <w:tcW w:w="855" w:type="dxa"/>
            <w:tcBorders>
              <w:top w:val="nil"/>
              <w:left w:val="nil"/>
              <w:bottom w:val="single" w:sz="4" w:space="0" w:color="auto"/>
              <w:right w:val="single" w:sz="4" w:space="0" w:color="auto"/>
            </w:tcBorders>
            <w:shd w:val="clear" w:color="auto" w:fill="auto"/>
            <w:noWrap/>
            <w:vAlign w:val="bottom"/>
            <w:hideMark/>
          </w:tcPr>
          <w:p w14:paraId="0DA4755C"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7937089C"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1.070.700,00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F523FBB"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2163DAE7"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19.06.2024.</w:t>
            </w:r>
          </w:p>
        </w:tc>
        <w:tc>
          <w:tcPr>
            <w:tcW w:w="813" w:type="dxa"/>
            <w:tcBorders>
              <w:top w:val="nil"/>
              <w:left w:val="nil"/>
              <w:bottom w:val="single" w:sz="4" w:space="0" w:color="auto"/>
              <w:right w:val="single" w:sz="4" w:space="0" w:color="auto"/>
            </w:tcBorders>
            <w:shd w:val="clear" w:color="auto" w:fill="auto"/>
            <w:noWrap/>
            <w:vAlign w:val="bottom"/>
            <w:hideMark/>
          </w:tcPr>
          <w:p w14:paraId="0ED18DF6"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28D0544B"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799AC2" w14:textId="77777777" w:rsidR="00C442DB" w:rsidRPr="00C442DB" w:rsidRDefault="00C442DB" w:rsidP="00C442DB">
            <w:pPr>
              <w:jc w:val="center"/>
              <w:rPr>
                <w:rFonts w:ascii="Calibri" w:hAnsi="Calibri"/>
                <w:sz w:val="16"/>
                <w:szCs w:val="16"/>
              </w:rPr>
            </w:pPr>
            <w:r w:rsidRPr="00C442DB">
              <w:rPr>
                <w:rFonts w:ascii="Calibri" w:hAnsi="Calibri"/>
                <w:sz w:val="16"/>
                <w:szCs w:val="16"/>
              </w:rPr>
              <w:t>8</w:t>
            </w:r>
          </w:p>
        </w:tc>
        <w:tc>
          <w:tcPr>
            <w:tcW w:w="993" w:type="dxa"/>
            <w:tcBorders>
              <w:top w:val="nil"/>
              <w:left w:val="nil"/>
              <w:bottom w:val="single" w:sz="4" w:space="0" w:color="auto"/>
              <w:right w:val="single" w:sz="4" w:space="0" w:color="auto"/>
            </w:tcBorders>
            <w:shd w:val="clear" w:color="auto" w:fill="auto"/>
            <w:noWrap/>
            <w:vAlign w:val="bottom"/>
            <w:hideMark/>
          </w:tcPr>
          <w:p w14:paraId="2832E12A" w14:textId="77777777" w:rsidR="00C442DB" w:rsidRPr="00C442DB" w:rsidRDefault="00C442DB" w:rsidP="00C442DB">
            <w:pPr>
              <w:jc w:val="left"/>
              <w:rPr>
                <w:rFonts w:ascii="Calibri" w:hAnsi="Calibri"/>
                <w:sz w:val="16"/>
                <w:szCs w:val="16"/>
              </w:rPr>
            </w:pPr>
            <w:r w:rsidRPr="00C442DB">
              <w:rPr>
                <w:rFonts w:ascii="Calibri" w:hAnsi="Calibri"/>
                <w:sz w:val="16"/>
                <w:szCs w:val="16"/>
              </w:rPr>
              <w:t>RSBD -019</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42F4D62F"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300.000.000,00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45C99F51"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14:paraId="62F1C2E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477.050,00</w:t>
            </w:r>
          </w:p>
        </w:tc>
        <w:tc>
          <w:tcPr>
            <w:tcW w:w="855" w:type="dxa"/>
            <w:tcBorders>
              <w:top w:val="nil"/>
              <w:left w:val="nil"/>
              <w:bottom w:val="single" w:sz="4" w:space="0" w:color="auto"/>
              <w:right w:val="single" w:sz="4" w:space="0" w:color="auto"/>
            </w:tcBorders>
            <w:shd w:val="clear" w:color="auto" w:fill="auto"/>
            <w:noWrap/>
            <w:vAlign w:val="bottom"/>
            <w:hideMark/>
          </w:tcPr>
          <w:p w14:paraId="6FCE5DD9"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5AF33070"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477.050,00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3E961407"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E8B1421"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16.04.2025.</w:t>
            </w:r>
          </w:p>
        </w:tc>
        <w:tc>
          <w:tcPr>
            <w:tcW w:w="813" w:type="dxa"/>
            <w:tcBorders>
              <w:top w:val="nil"/>
              <w:left w:val="nil"/>
              <w:bottom w:val="single" w:sz="4" w:space="0" w:color="auto"/>
              <w:right w:val="single" w:sz="4" w:space="0" w:color="auto"/>
            </w:tcBorders>
            <w:shd w:val="clear" w:color="auto" w:fill="auto"/>
            <w:noWrap/>
            <w:vAlign w:val="bottom"/>
            <w:hideMark/>
          </w:tcPr>
          <w:p w14:paraId="589009AF"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3A907035" w14:textId="77777777" w:rsidTr="009A46DA">
        <w:trPr>
          <w:trHeight w:val="315"/>
        </w:trPr>
        <w:tc>
          <w:tcPr>
            <w:tcW w:w="3555" w:type="dxa"/>
            <w:gridSpan w:val="8"/>
            <w:tcBorders>
              <w:top w:val="single" w:sz="4" w:space="0" w:color="auto"/>
              <w:left w:val="single" w:sz="4" w:space="0" w:color="auto"/>
              <w:bottom w:val="single" w:sz="4" w:space="0" w:color="auto"/>
              <w:right w:val="single" w:sz="4" w:space="0" w:color="000000"/>
            </w:tcBorders>
            <w:shd w:val="clear" w:color="000000" w:fill="C5D9F1"/>
            <w:vAlign w:val="center"/>
            <w:hideMark/>
          </w:tcPr>
          <w:p w14:paraId="5B3E934B"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УКУПНО ХОВ РЕПУБЛИКЕ СРПСКЕ (8)</w:t>
            </w:r>
          </w:p>
        </w:tc>
        <w:tc>
          <w:tcPr>
            <w:tcW w:w="996" w:type="dxa"/>
            <w:tcBorders>
              <w:top w:val="nil"/>
              <w:left w:val="nil"/>
              <w:bottom w:val="single" w:sz="4" w:space="0" w:color="auto"/>
              <w:right w:val="single" w:sz="4" w:space="0" w:color="auto"/>
            </w:tcBorders>
            <w:shd w:val="clear" w:color="000000" w:fill="C5D9F1"/>
            <w:noWrap/>
            <w:vAlign w:val="center"/>
            <w:hideMark/>
          </w:tcPr>
          <w:p w14:paraId="0AA57A1E" w14:textId="77777777" w:rsidR="00C442DB" w:rsidRPr="00C442DB" w:rsidRDefault="00C442DB" w:rsidP="00C442DB">
            <w:pPr>
              <w:ind w:right="-150"/>
              <w:jc w:val="right"/>
              <w:rPr>
                <w:rFonts w:ascii="Calibri" w:hAnsi="Calibri"/>
                <w:b/>
                <w:bCs/>
                <w:sz w:val="16"/>
                <w:szCs w:val="16"/>
              </w:rPr>
            </w:pPr>
            <w:r w:rsidRPr="00C442DB">
              <w:rPr>
                <w:rFonts w:ascii="Calibri" w:hAnsi="Calibri"/>
                <w:b/>
                <w:bCs/>
                <w:sz w:val="16"/>
                <w:szCs w:val="16"/>
              </w:rPr>
              <w:t>9.219.400,00</w:t>
            </w:r>
          </w:p>
        </w:tc>
        <w:tc>
          <w:tcPr>
            <w:tcW w:w="855" w:type="dxa"/>
            <w:tcBorders>
              <w:top w:val="nil"/>
              <w:left w:val="nil"/>
              <w:bottom w:val="single" w:sz="4" w:space="0" w:color="auto"/>
              <w:right w:val="single" w:sz="4" w:space="0" w:color="auto"/>
            </w:tcBorders>
            <w:shd w:val="clear" w:color="000000" w:fill="C5D9F1"/>
            <w:noWrap/>
            <w:vAlign w:val="center"/>
            <w:hideMark/>
          </w:tcPr>
          <w:p w14:paraId="094A8A86" w14:textId="77777777" w:rsidR="00C442DB" w:rsidRPr="00C442DB" w:rsidRDefault="00C442DB" w:rsidP="00C442DB">
            <w:pPr>
              <w:ind w:right="-150"/>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C5D9F1"/>
            <w:noWrap/>
            <w:vAlign w:val="center"/>
            <w:hideMark/>
          </w:tcPr>
          <w:p w14:paraId="0BB0DDF2" w14:textId="77777777" w:rsidR="00C442DB" w:rsidRPr="00C442DB" w:rsidRDefault="00C442DB" w:rsidP="00C442DB">
            <w:pPr>
              <w:ind w:left="-71" w:right="-150"/>
              <w:jc w:val="right"/>
              <w:rPr>
                <w:rFonts w:ascii="Calibri" w:hAnsi="Calibri"/>
                <w:b/>
                <w:bCs/>
                <w:sz w:val="16"/>
                <w:szCs w:val="16"/>
              </w:rPr>
            </w:pPr>
            <w:r w:rsidRPr="00C442DB">
              <w:rPr>
                <w:rFonts w:ascii="Calibri" w:hAnsi="Calibri"/>
                <w:b/>
                <w:bCs/>
                <w:sz w:val="16"/>
                <w:szCs w:val="16"/>
              </w:rPr>
              <w:t>7.719.400,00</w:t>
            </w:r>
          </w:p>
        </w:tc>
        <w:tc>
          <w:tcPr>
            <w:tcW w:w="878" w:type="dxa"/>
            <w:gridSpan w:val="2"/>
            <w:tcBorders>
              <w:top w:val="nil"/>
              <w:left w:val="nil"/>
              <w:bottom w:val="single" w:sz="4" w:space="0" w:color="auto"/>
              <w:right w:val="single" w:sz="4" w:space="0" w:color="auto"/>
            </w:tcBorders>
            <w:shd w:val="clear" w:color="000000" w:fill="C5D9F1"/>
            <w:noWrap/>
            <w:vAlign w:val="center"/>
            <w:hideMark/>
          </w:tcPr>
          <w:p w14:paraId="1B3F4749"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gridSpan w:val="2"/>
            <w:tcBorders>
              <w:top w:val="nil"/>
              <w:left w:val="nil"/>
              <w:bottom w:val="single" w:sz="4" w:space="0" w:color="auto"/>
              <w:right w:val="single" w:sz="4" w:space="0" w:color="auto"/>
            </w:tcBorders>
            <w:shd w:val="clear" w:color="000000" w:fill="C5D9F1"/>
            <w:noWrap/>
            <w:vAlign w:val="center"/>
            <w:hideMark/>
          </w:tcPr>
          <w:p w14:paraId="659E821A"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813" w:type="dxa"/>
            <w:tcBorders>
              <w:top w:val="nil"/>
              <w:left w:val="nil"/>
              <w:bottom w:val="single" w:sz="4" w:space="0" w:color="auto"/>
              <w:right w:val="single" w:sz="4" w:space="0" w:color="auto"/>
            </w:tcBorders>
            <w:shd w:val="clear" w:color="000000" w:fill="C5D9F1"/>
            <w:noWrap/>
            <w:vAlign w:val="center"/>
            <w:hideMark/>
          </w:tcPr>
          <w:p w14:paraId="0CF1FD55" w14:textId="77777777" w:rsidR="00C442DB" w:rsidRPr="00C442DB" w:rsidRDefault="00C442DB" w:rsidP="00C442DB">
            <w:pPr>
              <w:ind w:right="-108"/>
              <w:jc w:val="left"/>
              <w:rPr>
                <w:rFonts w:ascii="Calibri" w:hAnsi="Calibri"/>
                <w:b/>
                <w:bCs/>
                <w:sz w:val="16"/>
                <w:szCs w:val="16"/>
              </w:rPr>
            </w:pPr>
            <w:r w:rsidRPr="00C442DB">
              <w:rPr>
                <w:rFonts w:ascii="Calibri" w:hAnsi="Calibri"/>
                <w:b/>
                <w:bCs/>
                <w:sz w:val="16"/>
                <w:szCs w:val="16"/>
              </w:rPr>
              <w:t> </w:t>
            </w:r>
          </w:p>
        </w:tc>
      </w:tr>
      <w:tr w:rsidR="00C442DB" w:rsidRPr="00C442DB" w14:paraId="2EA3F045"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22D8249" w14:textId="77777777" w:rsidR="00C442DB" w:rsidRPr="00C442DB" w:rsidRDefault="00C442DB" w:rsidP="00C442DB">
            <w:pPr>
              <w:jc w:val="center"/>
              <w:rPr>
                <w:rFonts w:ascii="Calibri" w:hAnsi="Calibri"/>
                <w:sz w:val="16"/>
                <w:szCs w:val="16"/>
              </w:rPr>
            </w:pPr>
            <w:r w:rsidRPr="00C442DB">
              <w:rPr>
                <w:rFonts w:ascii="Calibri" w:hAnsi="Calibri"/>
                <w:sz w:val="16"/>
                <w:szCs w:val="16"/>
              </w:rPr>
              <w:t>9</w:t>
            </w:r>
          </w:p>
        </w:tc>
        <w:tc>
          <w:tcPr>
            <w:tcW w:w="993" w:type="dxa"/>
            <w:tcBorders>
              <w:top w:val="nil"/>
              <w:left w:val="nil"/>
              <w:bottom w:val="single" w:sz="4" w:space="0" w:color="auto"/>
              <w:right w:val="single" w:sz="4" w:space="0" w:color="auto"/>
            </w:tcBorders>
            <w:shd w:val="clear" w:color="auto" w:fill="auto"/>
            <w:noWrap/>
            <w:vAlign w:val="bottom"/>
            <w:hideMark/>
          </w:tcPr>
          <w:p w14:paraId="36EC0CFA" w14:textId="77777777" w:rsidR="00C442DB" w:rsidRPr="00C442DB" w:rsidRDefault="00C442DB" w:rsidP="00C442DB">
            <w:pPr>
              <w:jc w:val="left"/>
              <w:rPr>
                <w:rFonts w:ascii="Calibri" w:hAnsi="Calibri"/>
                <w:sz w:val="16"/>
                <w:szCs w:val="16"/>
              </w:rPr>
            </w:pPr>
            <w:r w:rsidRPr="00C442DB">
              <w:rPr>
                <w:rFonts w:ascii="Calibri" w:hAnsi="Calibri"/>
                <w:sz w:val="16"/>
                <w:szCs w:val="16"/>
              </w:rPr>
              <w:t>OSOD-O-A Srbac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18BAA039" w14:textId="77777777" w:rsidR="00C442DB" w:rsidRPr="00C442DB" w:rsidRDefault="00C442DB" w:rsidP="00C442DB">
            <w:pPr>
              <w:jc w:val="right"/>
              <w:rPr>
                <w:rFonts w:ascii="Calibri" w:hAnsi="Calibri"/>
                <w:sz w:val="16"/>
                <w:szCs w:val="16"/>
              </w:rPr>
            </w:pPr>
            <w:r w:rsidRPr="00C442DB">
              <w:rPr>
                <w:rFonts w:ascii="Calibri" w:hAnsi="Calibri"/>
                <w:sz w:val="16"/>
                <w:szCs w:val="16"/>
              </w:rPr>
              <w:t>3.500.000,00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4AA17689"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single" w:sz="4" w:space="0" w:color="auto"/>
              <w:right w:val="single" w:sz="4" w:space="0" w:color="auto"/>
            </w:tcBorders>
            <w:shd w:val="clear" w:color="auto" w:fill="auto"/>
            <w:noWrap/>
            <w:vAlign w:val="bottom"/>
            <w:hideMark/>
          </w:tcPr>
          <w:p w14:paraId="2F4D38B7"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4085A13E" w14:textId="77777777" w:rsidR="00C442DB" w:rsidRPr="00C442DB" w:rsidRDefault="00C442DB" w:rsidP="00C442DB">
            <w:pPr>
              <w:jc w:val="right"/>
              <w:rPr>
                <w:rFonts w:ascii="Calibri" w:hAnsi="Calibri"/>
                <w:sz w:val="16"/>
                <w:szCs w:val="16"/>
              </w:rPr>
            </w:pPr>
            <w:r w:rsidRPr="00C442DB">
              <w:rPr>
                <w:rFonts w:ascii="Calibri" w:hAnsi="Calibri"/>
                <w:sz w:val="16"/>
                <w:szCs w:val="16"/>
              </w:rPr>
              <w:t>5,50%</w:t>
            </w:r>
          </w:p>
        </w:tc>
        <w:tc>
          <w:tcPr>
            <w:tcW w:w="995" w:type="dxa"/>
            <w:tcBorders>
              <w:top w:val="nil"/>
              <w:left w:val="nil"/>
              <w:bottom w:val="single" w:sz="4" w:space="0" w:color="auto"/>
              <w:right w:val="single" w:sz="4" w:space="0" w:color="auto"/>
            </w:tcBorders>
            <w:shd w:val="clear" w:color="auto" w:fill="auto"/>
            <w:noWrap/>
            <w:vAlign w:val="bottom"/>
            <w:hideMark/>
          </w:tcPr>
          <w:p w14:paraId="61879C6A" w14:textId="77777777" w:rsidR="00C442DB" w:rsidRPr="00C442DB" w:rsidRDefault="00C442DB" w:rsidP="00C442DB">
            <w:pPr>
              <w:jc w:val="right"/>
              <w:rPr>
                <w:rFonts w:ascii="Calibri" w:hAnsi="Calibri"/>
                <w:sz w:val="16"/>
                <w:szCs w:val="16"/>
              </w:rPr>
            </w:pPr>
            <w:r w:rsidRPr="00C442DB">
              <w:rPr>
                <w:rFonts w:ascii="Calibri" w:hAnsi="Calibri"/>
                <w:sz w:val="16"/>
                <w:szCs w:val="16"/>
              </w:rPr>
              <w:t>252.347,35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A8886FE"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Kvartalno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2AF9B1C" w14:textId="77777777" w:rsidR="00C442DB" w:rsidRPr="00C442DB" w:rsidRDefault="00C442DB" w:rsidP="00C442DB">
            <w:pPr>
              <w:jc w:val="left"/>
              <w:rPr>
                <w:rFonts w:ascii="Calibri" w:hAnsi="Calibri"/>
                <w:sz w:val="16"/>
                <w:szCs w:val="16"/>
              </w:rPr>
            </w:pPr>
            <w:r w:rsidRPr="00C442DB">
              <w:rPr>
                <w:rFonts w:ascii="Calibri" w:hAnsi="Calibri"/>
                <w:sz w:val="16"/>
                <w:szCs w:val="16"/>
              </w:rPr>
              <w:t>19.12.2031.</w:t>
            </w:r>
          </w:p>
        </w:tc>
        <w:tc>
          <w:tcPr>
            <w:tcW w:w="813" w:type="dxa"/>
            <w:tcBorders>
              <w:top w:val="nil"/>
              <w:left w:val="nil"/>
              <w:bottom w:val="single" w:sz="4" w:space="0" w:color="auto"/>
              <w:right w:val="single" w:sz="4" w:space="0" w:color="auto"/>
            </w:tcBorders>
            <w:shd w:val="clear" w:color="auto" w:fill="auto"/>
            <w:noWrap/>
            <w:vAlign w:val="bottom"/>
            <w:hideMark/>
          </w:tcPr>
          <w:p w14:paraId="35DE5D09"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19.09.2023</w:t>
            </w:r>
          </w:p>
        </w:tc>
      </w:tr>
      <w:tr w:rsidR="00C442DB" w:rsidRPr="00C442DB" w14:paraId="237C7B35"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2456447" w14:textId="77777777" w:rsidR="00C442DB" w:rsidRPr="00C442DB" w:rsidRDefault="00C442DB" w:rsidP="00C442DB">
            <w:pPr>
              <w:jc w:val="center"/>
              <w:rPr>
                <w:rFonts w:ascii="Calibri" w:hAnsi="Calibri"/>
                <w:sz w:val="16"/>
                <w:szCs w:val="16"/>
              </w:rPr>
            </w:pPr>
            <w:r w:rsidRPr="00C442DB">
              <w:rPr>
                <w:rFonts w:ascii="Calibri" w:hAnsi="Calibri"/>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14:paraId="1B24D023"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RGBZ-O-A Rogatica </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6E51881B" w14:textId="77777777" w:rsidR="00C442DB" w:rsidRPr="00C442DB" w:rsidRDefault="00C442DB" w:rsidP="00C442DB">
            <w:pPr>
              <w:jc w:val="right"/>
              <w:rPr>
                <w:rFonts w:ascii="Calibri" w:hAnsi="Calibri"/>
                <w:sz w:val="16"/>
                <w:szCs w:val="16"/>
              </w:rPr>
            </w:pPr>
            <w:r w:rsidRPr="00C442DB">
              <w:rPr>
                <w:rFonts w:ascii="Calibri" w:hAnsi="Calibri"/>
                <w:sz w:val="16"/>
                <w:szCs w:val="16"/>
              </w:rPr>
              <w:t>900.000,00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48DF7941"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403B9FC9"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4A6DAE72"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6CCA2FBE" w14:textId="77777777" w:rsidR="00C442DB" w:rsidRPr="00C442DB" w:rsidRDefault="00C442DB" w:rsidP="00C442DB">
            <w:pPr>
              <w:jc w:val="right"/>
              <w:rPr>
                <w:rFonts w:ascii="Calibri" w:hAnsi="Calibri"/>
                <w:sz w:val="16"/>
                <w:szCs w:val="16"/>
              </w:rPr>
            </w:pPr>
            <w:r w:rsidRPr="00C442DB">
              <w:rPr>
                <w:rFonts w:ascii="Calibri" w:hAnsi="Calibri"/>
                <w:sz w:val="16"/>
                <w:szCs w:val="16"/>
              </w:rPr>
              <w:t>147.103,55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3966E2E"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Kvartalno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D0DB2C0" w14:textId="77777777" w:rsidR="00C442DB" w:rsidRPr="00C442DB" w:rsidRDefault="00C442DB" w:rsidP="00C442DB">
            <w:pPr>
              <w:jc w:val="left"/>
              <w:rPr>
                <w:rFonts w:ascii="Calibri" w:hAnsi="Calibri"/>
                <w:sz w:val="16"/>
                <w:szCs w:val="16"/>
              </w:rPr>
            </w:pPr>
            <w:r w:rsidRPr="00C442DB">
              <w:rPr>
                <w:rFonts w:ascii="Calibri" w:hAnsi="Calibri"/>
                <w:sz w:val="16"/>
                <w:szCs w:val="16"/>
              </w:rPr>
              <w:t>15.02.2028.</w:t>
            </w:r>
          </w:p>
        </w:tc>
        <w:tc>
          <w:tcPr>
            <w:tcW w:w="813" w:type="dxa"/>
            <w:tcBorders>
              <w:top w:val="nil"/>
              <w:left w:val="nil"/>
              <w:bottom w:val="single" w:sz="4" w:space="0" w:color="auto"/>
              <w:right w:val="single" w:sz="4" w:space="0" w:color="auto"/>
            </w:tcBorders>
            <w:shd w:val="clear" w:color="auto" w:fill="auto"/>
            <w:noWrap/>
            <w:vAlign w:val="bottom"/>
            <w:hideMark/>
          </w:tcPr>
          <w:p w14:paraId="718F59FF"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15.08.2023</w:t>
            </w:r>
          </w:p>
        </w:tc>
      </w:tr>
      <w:tr w:rsidR="00C442DB" w:rsidRPr="00C442DB" w14:paraId="7738B6C7"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8F658F" w14:textId="77777777" w:rsidR="00C442DB" w:rsidRPr="00C442DB" w:rsidRDefault="00C442DB" w:rsidP="00C442DB">
            <w:pPr>
              <w:jc w:val="center"/>
              <w:rPr>
                <w:rFonts w:ascii="Calibri" w:hAnsi="Calibri"/>
                <w:sz w:val="16"/>
                <w:szCs w:val="16"/>
              </w:rPr>
            </w:pPr>
            <w:r w:rsidRPr="00C442DB">
              <w:rPr>
                <w:rFonts w:ascii="Calibri" w:hAnsi="Calibri"/>
                <w:sz w:val="16"/>
                <w:szCs w:val="16"/>
              </w:rPr>
              <w:t>11</w:t>
            </w:r>
          </w:p>
        </w:tc>
        <w:tc>
          <w:tcPr>
            <w:tcW w:w="993" w:type="dxa"/>
            <w:tcBorders>
              <w:top w:val="nil"/>
              <w:left w:val="nil"/>
              <w:bottom w:val="single" w:sz="4" w:space="0" w:color="auto"/>
              <w:right w:val="single" w:sz="4" w:space="0" w:color="auto"/>
            </w:tcBorders>
            <w:shd w:val="clear" w:color="auto" w:fill="auto"/>
            <w:noWrap/>
            <w:vAlign w:val="bottom"/>
            <w:hideMark/>
          </w:tcPr>
          <w:p w14:paraId="0D381FD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BLKI-O-B Banja Luka </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D29CBAD"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07778684" w14:textId="77777777" w:rsidR="00C442DB" w:rsidRPr="00C442DB" w:rsidRDefault="00C442DB" w:rsidP="00C442DB">
            <w:pPr>
              <w:jc w:val="right"/>
              <w:rPr>
                <w:rFonts w:ascii="Calibri" w:hAnsi="Calibri"/>
                <w:sz w:val="16"/>
                <w:szCs w:val="16"/>
              </w:rPr>
            </w:pPr>
            <w:r w:rsidRPr="00C442DB">
              <w:rPr>
                <w:rFonts w:ascii="Calibri" w:hAnsi="Calibri"/>
                <w:sz w:val="16"/>
                <w:szCs w:val="16"/>
              </w:rPr>
              <w:t>2.845</w:t>
            </w:r>
          </w:p>
        </w:tc>
        <w:tc>
          <w:tcPr>
            <w:tcW w:w="996" w:type="dxa"/>
            <w:tcBorders>
              <w:top w:val="nil"/>
              <w:left w:val="nil"/>
              <w:bottom w:val="single" w:sz="4" w:space="0" w:color="auto"/>
              <w:right w:val="single" w:sz="4" w:space="0" w:color="auto"/>
            </w:tcBorders>
            <w:shd w:val="clear" w:color="auto" w:fill="auto"/>
            <w:noWrap/>
            <w:vAlign w:val="bottom"/>
            <w:hideMark/>
          </w:tcPr>
          <w:p w14:paraId="0F702131" w14:textId="77777777" w:rsidR="00C442DB" w:rsidRPr="00C442DB" w:rsidRDefault="00C442DB" w:rsidP="00C442DB">
            <w:pPr>
              <w:jc w:val="right"/>
              <w:rPr>
                <w:rFonts w:ascii="Calibri" w:hAnsi="Calibri"/>
                <w:sz w:val="16"/>
                <w:szCs w:val="16"/>
              </w:rPr>
            </w:pPr>
            <w:r w:rsidRPr="00C442DB">
              <w:rPr>
                <w:rFonts w:ascii="Calibri" w:hAnsi="Calibri"/>
                <w:sz w:val="16"/>
                <w:szCs w:val="16"/>
              </w:rPr>
              <w:t>295.880,00</w:t>
            </w:r>
          </w:p>
        </w:tc>
        <w:tc>
          <w:tcPr>
            <w:tcW w:w="855" w:type="dxa"/>
            <w:tcBorders>
              <w:top w:val="nil"/>
              <w:left w:val="nil"/>
              <w:bottom w:val="single" w:sz="4" w:space="0" w:color="auto"/>
              <w:right w:val="single" w:sz="4" w:space="0" w:color="auto"/>
            </w:tcBorders>
            <w:shd w:val="clear" w:color="auto" w:fill="auto"/>
            <w:noWrap/>
            <w:vAlign w:val="bottom"/>
            <w:hideMark/>
          </w:tcPr>
          <w:p w14:paraId="5BB600DB"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704BCA44" w14:textId="77777777" w:rsidR="00C442DB" w:rsidRPr="00C442DB" w:rsidRDefault="00C442DB" w:rsidP="00C442DB">
            <w:pPr>
              <w:jc w:val="right"/>
              <w:rPr>
                <w:rFonts w:ascii="Calibri" w:hAnsi="Calibri"/>
                <w:sz w:val="16"/>
                <w:szCs w:val="16"/>
              </w:rPr>
            </w:pPr>
            <w:r w:rsidRPr="00C442DB">
              <w:rPr>
                <w:rFonts w:ascii="Calibri" w:hAnsi="Calibri"/>
                <w:sz w:val="16"/>
                <w:szCs w:val="16"/>
              </w:rPr>
              <w:t>80.015,66</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69B8472"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Polugodišnje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3734D910" w14:textId="77777777" w:rsidR="00C442DB" w:rsidRPr="00C442DB" w:rsidRDefault="00C442DB" w:rsidP="00C442DB">
            <w:pPr>
              <w:jc w:val="left"/>
              <w:rPr>
                <w:rFonts w:ascii="Calibri" w:hAnsi="Calibri"/>
                <w:sz w:val="16"/>
                <w:szCs w:val="16"/>
              </w:rPr>
            </w:pPr>
            <w:r w:rsidRPr="00C442DB">
              <w:rPr>
                <w:rFonts w:ascii="Calibri" w:hAnsi="Calibri"/>
                <w:sz w:val="16"/>
                <w:szCs w:val="16"/>
              </w:rPr>
              <w:t>26.04.2025.</w:t>
            </w:r>
          </w:p>
        </w:tc>
        <w:tc>
          <w:tcPr>
            <w:tcW w:w="813" w:type="dxa"/>
            <w:tcBorders>
              <w:top w:val="nil"/>
              <w:left w:val="nil"/>
              <w:bottom w:val="single" w:sz="4" w:space="0" w:color="auto"/>
              <w:right w:val="single" w:sz="4" w:space="0" w:color="auto"/>
            </w:tcBorders>
            <w:shd w:val="clear" w:color="auto" w:fill="auto"/>
            <w:noWrap/>
            <w:vAlign w:val="bottom"/>
            <w:hideMark/>
          </w:tcPr>
          <w:p w14:paraId="017817E1"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26.10.2023</w:t>
            </w:r>
          </w:p>
        </w:tc>
      </w:tr>
      <w:tr w:rsidR="00C442DB" w:rsidRPr="00C442DB" w14:paraId="792E3027"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C8D84B" w14:textId="77777777" w:rsidR="00C442DB" w:rsidRPr="00C442DB" w:rsidRDefault="00C442DB" w:rsidP="00C442DB">
            <w:pPr>
              <w:jc w:val="center"/>
              <w:rPr>
                <w:rFonts w:ascii="Calibri" w:hAnsi="Calibri"/>
                <w:sz w:val="16"/>
                <w:szCs w:val="16"/>
              </w:rPr>
            </w:pPr>
            <w:r w:rsidRPr="00C442DB">
              <w:rPr>
                <w:rFonts w:ascii="Calibri" w:hAnsi="Calibri"/>
                <w:sz w:val="16"/>
                <w:szCs w:val="16"/>
              </w:rPr>
              <w:t>12</w:t>
            </w:r>
          </w:p>
        </w:tc>
        <w:tc>
          <w:tcPr>
            <w:tcW w:w="993" w:type="dxa"/>
            <w:tcBorders>
              <w:top w:val="nil"/>
              <w:left w:val="nil"/>
              <w:bottom w:val="single" w:sz="4" w:space="0" w:color="auto"/>
              <w:right w:val="single" w:sz="4" w:space="0" w:color="auto"/>
            </w:tcBorders>
            <w:shd w:val="clear" w:color="auto" w:fill="auto"/>
            <w:noWrap/>
            <w:vAlign w:val="bottom"/>
            <w:hideMark/>
          </w:tcPr>
          <w:p w14:paraId="151E9F1F" w14:textId="77777777" w:rsidR="00C442DB" w:rsidRPr="00C442DB" w:rsidRDefault="00C442DB" w:rsidP="00C442DB">
            <w:pPr>
              <w:jc w:val="left"/>
              <w:rPr>
                <w:rFonts w:ascii="Calibri" w:hAnsi="Calibri"/>
                <w:sz w:val="16"/>
                <w:szCs w:val="16"/>
              </w:rPr>
            </w:pPr>
            <w:r w:rsidRPr="00C442DB">
              <w:rPr>
                <w:rFonts w:ascii="Calibri" w:hAnsi="Calibri"/>
                <w:sz w:val="16"/>
                <w:szCs w:val="16"/>
              </w:rPr>
              <w:t>OKRZ-O-A Kotor Varoš</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2CB34FD" w14:textId="77777777" w:rsidR="00C442DB" w:rsidRPr="00C442DB" w:rsidRDefault="00C442DB" w:rsidP="00C442DB">
            <w:pPr>
              <w:jc w:val="right"/>
              <w:rPr>
                <w:rFonts w:ascii="Calibri" w:hAnsi="Calibri"/>
                <w:sz w:val="16"/>
                <w:szCs w:val="16"/>
              </w:rPr>
            </w:pPr>
            <w:r w:rsidRPr="00C442DB">
              <w:rPr>
                <w:rFonts w:ascii="Calibri" w:hAnsi="Calibri"/>
                <w:sz w:val="16"/>
                <w:szCs w:val="16"/>
              </w:rPr>
              <w:t>5.000.000,00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58BCA7BF" w14:textId="77777777" w:rsidR="00C442DB" w:rsidRPr="00C442DB" w:rsidRDefault="00C442DB" w:rsidP="00C442DB">
            <w:pPr>
              <w:jc w:val="right"/>
              <w:rPr>
                <w:rFonts w:ascii="Calibri" w:hAnsi="Calibri"/>
                <w:sz w:val="16"/>
                <w:szCs w:val="16"/>
              </w:rPr>
            </w:pPr>
            <w:r w:rsidRPr="00C442DB">
              <w:rPr>
                <w:rFonts w:ascii="Calibri" w:hAnsi="Calibri"/>
                <w:sz w:val="16"/>
                <w:szCs w:val="16"/>
              </w:rPr>
              <w:t>2.923</w:t>
            </w:r>
          </w:p>
        </w:tc>
        <w:tc>
          <w:tcPr>
            <w:tcW w:w="996" w:type="dxa"/>
            <w:tcBorders>
              <w:top w:val="nil"/>
              <w:left w:val="nil"/>
              <w:bottom w:val="single" w:sz="4" w:space="0" w:color="auto"/>
              <w:right w:val="single" w:sz="4" w:space="0" w:color="auto"/>
            </w:tcBorders>
            <w:shd w:val="clear" w:color="auto" w:fill="auto"/>
            <w:noWrap/>
            <w:vAlign w:val="bottom"/>
            <w:hideMark/>
          </w:tcPr>
          <w:p w14:paraId="587C426C" w14:textId="77777777" w:rsidR="00C442DB" w:rsidRPr="00C442DB" w:rsidRDefault="00C442DB" w:rsidP="00C442DB">
            <w:pPr>
              <w:jc w:val="right"/>
              <w:rPr>
                <w:rFonts w:ascii="Calibri" w:hAnsi="Calibri"/>
                <w:sz w:val="16"/>
                <w:szCs w:val="16"/>
              </w:rPr>
            </w:pPr>
            <w:r w:rsidRPr="00C442DB">
              <w:rPr>
                <w:rFonts w:ascii="Calibri" w:hAnsi="Calibri"/>
                <w:sz w:val="16"/>
                <w:szCs w:val="16"/>
              </w:rPr>
              <w:t>292.329,23</w:t>
            </w:r>
          </w:p>
        </w:tc>
        <w:tc>
          <w:tcPr>
            <w:tcW w:w="855" w:type="dxa"/>
            <w:tcBorders>
              <w:top w:val="nil"/>
              <w:left w:val="nil"/>
              <w:bottom w:val="single" w:sz="4" w:space="0" w:color="auto"/>
              <w:right w:val="single" w:sz="4" w:space="0" w:color="auto"/>
            </w:tcBorders>
            <w:shd w:val="clear" w:color="auto" w:fill="auto"/>
            <w:noWrap/>
            <w:vAlign w:val="bottom"/>
            <w:hideMark/>
          </w:tcPr>
          <w:p w14:paraId="320D02A0" w14:textId="77777777" w:rsidR="00C442DB" w:rsidRPr="00C442DB" w:rsidRDefault="00C442DB" w:rsidP="00C442DB">
            <w:pPr>
              <w:jc w:val="right"/>
              <w:rPr>
                <w:rFonts w:ascii="Calibri" w:hAnsi="Calibri"/>
                <w:sz w:val="16"/>
                <w:szCs w:val="16"/>
              </w:rPr>
            </w:pPr>
            <w:r w:rsidRPr="00C442DB">
              <w:rPr>
                <w:rFonts w:ascii="Calibri" w:hAnsi="Calibri"/>
                <w:sz w:val="16"/>
                <w:szCs w:val="16"/>
              </w:rPr>
              <w:t>4,40%</w:t>
            </w:r>
          </w:p>
        </w:tc>
        <w:tc>
          <w:tcPr>
            <w:tcW w:w="995" w:type="dxa"/>
            <w:tcBorders>
              <w:top w:val="nil"/>
              <w:left w:val="nil"/>
              <w:bottom w:val="single" w:sz="4" w:space="0" w:color="auto"/>
              <w:right w:val="single" w:sz="4" w:space="0" w:color="auto"/>
            </w:tcBorders>
            <w:shd w:val="clear" w:color="auto" w:fill="auto"/>
            <w:noWrap/>
            <w:vAlign w:val="bottom"/>
            <w:hideMark/>
          </w:tcPr>
          <w:p w14:paraId="382A825A" w14:textId="77777777" w:rsidR="00C442DB" w:rsidRPr="00C442DB" w:rsidRDefault="00C442DB" w:rsidP="00C442DB">
            <w:pPr>
              <w:jc w:val="right"/>
              <w:rPr>
                <w:rFonts w:ascii="Calibri" w:hAnsi="Calibri"/>
                <w:sz w:val="16"/>
                <w:szCs w:val="16"/>
              </w:rPr>
            </w:pPr>
            <w:r w:rsidRPr="00C442DB">
              <w:rPr>
                <w:rFonts w:ascii="Calibri" w:hAnsi="Calibri"/>
                <w:sz w:val="16"/>
                <w:szCs w:val="16"/>
              </w:rPr>
              <w:t>217.690,35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1D78272"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Polugodišnje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53B441C1" w14:textId="77777777" w:rsidR="00C442DB" w:rsidRPr="00C442DB" w:rsidRDefault="00C442DB" w:rsidP="00C442DB">
            <w:pPr>
              <w:jc w:val="left"/>
              <w:rPr>
                <w:rFonts w:ascii="Calibri" w:hAnsi="Calibri"/>
                <w:sz w:val="16"/>
                <w:szCs w:val="16"/>
              </w:rPr>
            </w:pPr>
            <w:r w:rsidRPr="00C442DB">
              <w:rPr>
                <w:rFonts w:ascii="Calibri" w:hAnsi="Calibri"/>
                <w:sz w:val="16"/>
                <w:szCs w:val="16"/>
              </w:rPr>
              <w:t>05.10.2028.</w:t>
            </w:r>
          </w:p>
        </w:tc>
        <w:tc>
          <w:tcPr>
            <w:tcW w:w="813" w:type="dxa"/>
            <w:tcBorders>
              <w:top w:val="nil"/>
              <w:left w:val="nil"/>
              <w:bottom w:val="single" w:sz="4" w:space="0" w:color="auto"/>
              <w:right w:val="single" w:sz="4" w:space="0" w:color="auto"/>
            </w:tcBorders>
            <w:shd w:val="clear" w:color="auto" w:fill="auto"/>
            <w:noWrap/>
            <w:vAlign w:val="bottom"/>
            <w:hideMark/>
          </w:tcPr>
          <w:p w14:paraId="454B69FF"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05.10.2023</w:t>
            </w:r>
          </w:p>
        </w:tc>
      </w:tr>
      <w:tr w:rsidR="00C442DB" w:rsidRPr="00C442DB" w14:paraId="56AEBF52"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FA442C" w14:textId="77777777" w:rsidR="00C442DB" w:rsidRPr="00C442DB" w:rsidRDefault="00C442DB" w:rsidP="00C442DB">
            <w:pPr>
              <w:jc w:val="center"/>
              <w:rPr>
                <w:rFonts w:ascii="Calibri" w:hAnsi="Calibri"/>
                <w:sz w:val="16"/>
                <w:szCs w:val="16"/>
              </w:rPr>
            </w:pPr>
            <w:r w:rsidRPr="00C442DB">
              <w:rPr>
                <w:rFonts w:ascii="Calibri" w:hAnsi="Calibri"/>
                <w:sz w:val="16"/>
                <w:szCs w:val="16"/>
              </w:rPr>
              <w:t>13</w:t>
            </w:r>
          </w:p>
        </w:tc>
        <w:tc>
          <w:tcPr>
            <w:tcW w:w="993" w:type="dxa"/>
            <w:tcBorders>
              <w:top w:val="nil"/>
              <w:left w:val="nil"/>
              <w:bottom w:val="single" w:sz="4" w:space="0" w:color="auto"/>
              <w:right w:val="single" w:sz="4" w:space="0" w:color="auto"/>
            </w:tcBorders>
            <w:shd w:val="clear" w:color="auto" w:fill="auto"/>
            <w:noWrap/>
            <w:vAlign w:val="bottom"/>
            <w:hideMark/>
          </w:tcPr>
          <w:p w14:paraId="4B163D80" w14:textId="77777777" w:rsidR="00C442DB" w:rsidRPr="00C442DB" w:rsidRDefault="00C442DB" w:rsidP="00C442DB">
            <w:pPr>
              <w:jc w:val="left"/>
              <w:rPr>
                <w:rFonts w:ascii="Calibri" w:hAnsi="Calibri"/>
                <w:sz w:val="16"/>
                <w:szCs w:val="16"/>
              </w:rPr>
            </w:pPr>
            <w:r w:rsidRPr="00C442DB">
              <w:rPr>
                <w:rFonts w:ascii="Calibri" w:hAnsi="Calibri"/>
                <w:sz w:val="16"/>
                <w:szCs w:val="16"/>
              </w:rPr>
              <w:t>SLRF -O-A Sokolac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2F423889" w14:textId="77777777" w:rsidR="00C442DB" w:rsidRPr="00C442DB" w:rsidRDefault="00C442DB" w:rsidP="00C442DB">
            <w:pPr>
              <w:jc w:val="right"/>
              <w:rPr>
                <w:rFonts w:ascii="Calibri" w:hAnsi="Calibri"/>
                <w:sz w:val="16"/>
                <w:szCs w:val="16"/>
              </w:rPr>
            </w:pPr>
            <w:r w:rsidRPr="00C442DB">
              <w:rPr>
                <w:rFonts w:ascii="Calibri" w:hAnsi="Calibri"/>
                <w:sz w:val="16"/>
                <w:szCs w:val="16"/>
              </w:rPr>
              <w:t>5.500.000,00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1A7F9BDD"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single" w:sz="4" w:space="0" w:color="auto"/>
              <w:right w:val="single" w:sz="4" w:space="0" w:color="auto"/>
            </w:tcBorders>
            <w:shd w:val="clear" w:color="auto" w:fill="auto"/>
            <w:noWrap/>
            <w:vAlign w:val="bottom"/>
            <w:hideMark/>
          </w:tcPr>
          <w:p w14:paraId="2C8B3AB0"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74573DC3"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51E95B26" w14:textId="77777777" w:rsidR="00C442DB" w:rsidRPr="00C442DB" w:rsidRDefault="00C442DB" w:rsidP="00C442DB">
            <w:pPr>
              <w:jc w:val="right"/>
              <w:rPr>
                <w:rFonts w:ascii="Calibri" w:hAnsi="Calibri"/>
                <w:sz w:val="16"/>
                <w:szCs w:val="16"/>
              </w:rPr>
            </w:pPr>
            <w:r w:rsidRPr="00C442DB">
              <w:rPr>
                <w:rFonts w:ascii="Calibri" w:hAnsi="Calibri"/>
                <w:sz w:val="16"/>
                <w:szCs w:val="16"/>
              </w:rPr>
              <w:t>263.950,37</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05A9DA5"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2F5E7871" w14:textId="77777777" w:rsidR="00C442DB" w:rsidRPr="00C442DB" w:rsidRDefault="00C442DB" w:rsidP="00C442DB">
            <w:pPr>
              <w:jc w:val="left"/>
              <w:rPr>
                <w:rFonts w:ascii="Calibri" w:hAnsi="Calibri"/>
                <w:sz w:val="16"/>
                <w:szCs w:val="16"/>
              </w:rPr>
            </w:pPr>
            <w:r w:rsidRPr="00C442DB">
              <w:rPr>
                <w:rFonts w:ascii="Calibri" w:hAnsi="Calibri"/>
                <w:sz w:val="16"/>
                <w:szCs w:val="16"/>
              </w:rPr>
              <w:t>25.02.2034.</w:t>
            </w:r>
          </w:p>
        </w:tc>
        <w:tc>
          <w:tcPr>
            <w:tcW w:w="813" w:type="dxa"/>
            <w:tcBorders>
              <w:top w:val="nil"/>
              <w:left w:val="nil"/>
              <w:bottom w:val="single" w:sz="4" w:space="0" w:color="auto"/>
              <w:right w:val="single" w:sz="4" w:space="0" w:color="auto"/>
            </w:tcBorders>
            <w:shd w:val="clear" w:color="auto" w:fill="auto"/>
            <w:noWrap/>
            <w:vAlign w:val="bottom"/>
            <w:hideMark/>
          </w:tcPr>
          <w:p w14:paraId="563F550D"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25.07.2023</w:t>
            </w:r>
          </w:p>
        </w:tc>
      </w:tr>
      <w:tr w:rsidR="00C442DB" w:rsidRPr="00C442DB" w14:paraId="2A902060"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8EE8056" w14:textId="77777777" w:rsidR="00C442DB" w:rsidRPr="00C442DB" w:rsidRDefault="00C442DB" w:rsidP="00C442DB">
            <w:pPr>
              <w:jc w:val="center"/>
              <w:rPr>
                <w:rFonts w:ascii="Calibri" w:hAnsi="Calibri"/>
                <w:sz w:val="16"/>
                <w:szCs w:val="16"/>
              </w:rPr>
            </w:pPr>
            <w:r w:rsidRPr="00C442DB">
              <w:rPr>
                <w:rFonts w:ascii="Calibri" w:hAnsi="Calibri"/>
                <w:sz w:val="16"/>
                <w:szCs w:val="16"/>
              </w:rPr>
              <w:t>14</w:t>
            </w:r>
          </w:p>
        </w:tc>
        <w:tc>
          <w:tcPr>
            <w:tcW w:w="993" w:type="dxa"/>
            <w:tcBorders>
              <w:top w:val="nil"/>
              <w:left w:val="nil"/>
              <w:bottom w:val="single" w:sz="4" w:space="0" w:color="auto"/>
              <w:right w:val="single" w:sz="4" w:space="0" w:color="auto"/>
            </w:tcBorders>
            <w:shd w:val="clear" w:color="auto" w:fill="auto"/>
            <w:noWrap/>
            <w:vAlign w:val="bottom"/>
            <w:hideMark/>
          </w:tcPr>
          <w:p w14:paraId="40BE2B06" w14:textId="77777777" w:rsidR="00C442DB" w:rsidRPr="00C442DB" w:rsidRDefault="00C442DB" w:rsidP="00C442DB">
            <w:pPr>
              <w:jc w:val="left"/>
              <w:rPr>
                <w:rFonts w:ascii="Calibri" w:hAnsi="Calibri"/>
                <w:sz w:val="16"/>
                <w:szCs w:val="16"/>
              </w:rPr>
            </w:pPr>
            <w:r w:rsidRPr="00C442DB">
              <w:rPr>
                <w:rFonts w:ascii="Calibri" w:hAnsi="Calibri"/>
                <w:sz w:val="16"/>
                <w:szCs w:val="16"/>
              </w:rPr>
              <w:t>OSVL-O-A Vlasenica</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A855F78"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49AC53B6" w14:textId="77777777" w:rsidR="00C442DB" w:rsidRPr="00C442DB" w:rsidRDefault="00C442DB" w:rsidP="00C442DB">
            <w:pPr>
              <w:jc w:val="right"/>
              <w:rPr>
                <w:rFonts w:ascii="Calibri" w:hAnsi="Calibri"/>
                <w:sz w:val="16"/>
                <w:szCs w:val="16"/>
              </w:rPr>
            </w:pPr>
            <w:r w:rsidRPr="00C442DB">
              <w:rPr>
                <w:rFonts w:ascii="Calibri" w:hAnsi="Calibri"/>
                <w:sz w:val="16"/>
                <w:szCs w:val="16"/>
              </w:rPr>
              <w:t>18.000</w:t>
            </w:r>
          </w:p>
        </w:tc>
        <w:tc>
          <w:tcPr>
            <w:tcW w:w="996" w:type="dxa"/>
            <w:tcBorders>
              <w:top w:val="nil"/>
              <w:left w:val="nil"/>
              <w:bottom w:val="single" w:sz="4" w:space="0" w:color="auto"/>
              <w:right w:val="single" w:sz="4" w:space="0" w:color="auto"/>
            </w:tcBorders>
            <w:shd w:val="clear" w:color="auto" w:fill="auto"/>
            <w:noWrap/>
            <w:vAlign w:val="bottom"/>
            <w:hideMark/>
          </w:tcPr>
          <w:p w14:paraId="73145424"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6DECDFE9" w14:textId="77777777" w:rsidR="00C442DB" w:rsidRPr="00C442DB" w:rsidRDefault="00C442DB" w:rsidP="00C442DB">
            <w:pPr>
              <w:jc w:val="right"/>
              <w:rPr>
                <w:rFonts w:ascii="Calibri" w:hAnsi="Calibri"/>
                <w:sz w:val="16"/>
                <w:szCs w:val="16"/>
              </w:rPr>
            </w:pPr>
            <w:r w:rsidRPr="00C442DB">
              <w:rPr>
                <w:rFonts w:ascii="Calibri" w:hAnsi="Calibri"/>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3356F125" w14:textId="77777777" w:rsidR="00C442DB" w:rsidRPr="00C442DB" w:rsidRDefault="00C442DB" w:rsidP="00C442DB">
            <w:pPr>
              <w:jc w:val="right"/>
              <w:rPr>
                <w:rFonts w:ascii="Calibri" w:hAnsi="Calibri"/>
                <w:sz w:val="16"/>
                <w:szCs w:val="16"/>
              </w:rPr>
            </w:pPr>
            <w:r w:rsidRPr="00C442DB">
              <w:rPr>
                <w:rFonts w:ascii="Calibri" w:hAnsi="Calibri"/>
                <w:sz w:val="16"/>
                <w:szCs w:val="16"/>
              </w:rPr>
              <w:t>151.121,64</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96DE9E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78B2944F" w14:textId="77777777" w:rsidR="00C442DB" w:rsidRPr="00C442DB" w:rsidRDefault="00C442DB" w:rsidP="00C442DB">
            <w:pPr>
              <w:jc w:val="left"/>
              <w:rPr>
                <w:rFonts w:ascii="Calibri" w:hAnsi="Calibri"/>
                <w:sz w:val="16"/>
                <w:szCs w:val="16"/>
              </w:rPr>
            </w:pPr>
            <w:r w:rsidRPr="00C442DB">
              <w:rPr>
                <w:rFonts w:ascii="Calibri" w:hAnsi="Calibri"/>
                <w:sz w:val="16"/>
                <w:szCs w:val="16"/>
              </w:rPr>
              <w:t>09.10.2031.</w:t>
            </w:r>
          </w:p>
        </w:tc>
        <w:tc>
          <w:tcPr>
            <w:tcW w:w="813" w:type="dxa"/>
            <w:tcBorders>
              <w:top w:val="nil"/>
              <w:left w:val="nil"/>
              <w:bottom w:val="single" w:sz="4" w:space="0" w:color="auto"/>
              <w:right w:val="single" w:sz="4" w:space="0" w:color="auto"/>
            </w:tcBorders>
            <w:shd w:val="clear" w:color="auto" w:fill="auto"/>
            <w:noWrap/>
            <w:vAlign w:val="bottom"/>
            <w:hideMark/>
          </w:tcPr>
          <w:p w14:paraId="75F09BA6"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09.08.2023</w:t>
            </w:r>
          </w:p>
        </w:tc>
      </w:tr>
      <w:tr w:rsidR="00C442DB" w:rsidRPr="00C442DB" w14:paraId="0EEF3657"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36BA18" w14:textId="77777777" w:rsidR="00C442DB" w:rsidRPr="00C442DB" w:rsidRDefault="00C442DB" w:rsidP="00C442DB">
            <w:pPr>
              <w:jc w:val="center"/>
              <w:rPr>
                <w:rFonts w:ascii="Calibri" w:hAnsi="Calibri"/>
                <w:sz w:val="16"/>
                <w:szCs w:val="16"/>
              </w:rPr>
            </w:pPr>
            <w:r w:rsidRPr="00C442DB">
              <w:rPr>
                <w:rFonts w:ascii="Calibri" w:hAnsi="Calibri"/>
                <w:sz w:val="16"/>
                <w:szCs w:val="16"/>
              </w:rPr>
              <w:t>15</w:t>
            </w:r>
          </w:p>
        </w:tc>
        <w:tc>
          <w:tcPr>
            <w:tcW w:w="993" w:type="dxa"/>
            <w:tcBorders>
              <w:top w:val="nil"/>
              <w:left w:val="nil"/>
              <w:bottom w:val="single" w:sz="4" w:space="0" w:color="auto"/>
              <w:right w:val="single" w:sz="4" w:space="0" w:color="auto"/>
            </w:tcBorders>
            <w:shd w:val="clear" w:color="auto" w:fill="auto"/>
            <w:noWrap/>
            <w:vAlign w:val="bottom"/>
            <w:hideMark/>
          </w:tcPr>
          <w:p w14:paraId="2C8E25E7" w14:textId="1F8D8FF8" w:rsidR="00C442DB" w:rsidRPr="00E351D5" w:rsidRDefault="00C442DB" w:rsidP="00C442DB">
            <w:pPr>
              <w:jc w:val="left"/>
              <w:rPr>
                <w:rFonts w:ascii="Calibri" w:hAnsi="Calibri"/>
                <w:color w:val="auto"/>
                <w:sz w:val="14"/>
                <w:szCs w:val="14"/>
              </w:rPr>
            </w:pPr>
            <w:r w:rsidRPr="00C442DB">
              <w:rPr>
                <w:rFonts w:ascii="Calibri" w:hAnsi="Calibri"/>
                <w:color w:val="auto"/>
                <w:sz w:val="16"/>
                <w:szCs w:val="16"/>
              </w:rPr>
              <w:t>OSKI -O-A Opština</w:t>
            </w:r>
            <w:r w:rsidR="00E351D5">
              <w:rPr>
                <w:rFonts w:ascii="Calibri" w:hAnsi="Calibri"/>
                <w:color w:val="auto"/>
                <w:sz w:val="16"/>
                <w:szCs w:val="16"/>
              </w:rPr>
              <w:t xml:space="preserve"> </w:t>
            </w:r>
            <w:r w:rsidR="00E351D5">
              <w:rPr>
                <w:rFonts w:ascii="Calibri" w:hAnsi="Calibri"/>
                <w:color w:val="auto"/>
                <w:sz w:val="14"/>
                <w:szCs w:val="14"/>
              </w:rPr>
              <w:t>Srbac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6450DA12"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1.200.000,00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0CCAC580"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12.000</w:t>
            </w:r>
          </w:p>
        </w:tc>
        <w:tc>
          <w:tcPr>
            <w:tcW w:w="996" w:type="dxa"/>
            <w:tcBorders>
              <w:top w:val="nil"/>
              <w:left w:val="nil"/>
              <w:bottom w:val="single" w:sz="4" w:space="0" w:color="auto"/>
              <w:right w:val="single" w:sz="4" w:space="0" w:color="auto"/>
            </w:tcBorders>
            <w:shd w:val="clear" w:color="auto" w:fill="auto"/>
            <w:noWrap/>
            <w:vAlign w:val="bottom"/>
            <w:hideMark/>
          </w:tcPr>
          <w:p w14:paraId="5A07749F"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6B11EFA5"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2A237EC2"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300.000,00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EC2AF05"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 xml:space="preserve">Kvartalno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7DC124C9"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08.06.2033.</w:t>
            </w:r>
          </w:p>
        </w:tc>
        <w:tc>
          <w:tcPr>
            <w:tcW w:w="813" w:type="dxa"/>
            <w:tcBorders>
              <w:top w:val="nil"/>
              <w:left w:val="nil"/>
              <w:bottom w:val="single" w:sz="4" w:space="0" w:color="auto"/>
              <w:right w:val="single" w:sz="4" w:space="0" w:color="auto"/>
            </w:tcBorders>
            <w:shd w:val="clear" w:color="auto" w:fill="auto"/>
            <w:noWrap/>
            <w:vAlign w:val="bottom"/>
            <w:hideMark/>
          </w:tcPr>
          <w:p w14:paraId="75AD2848" w14:textId="77777777" w:rsidR="00C442DB" w:rsidRPr="00C442DB" w:rsidRDefault="00C442DB" w:rsidP="00C442DB">
            <w:pPr>
              <w:ind w:right="-108"/>
              <w:jc w:val="center"/>
              <w:rPr>
                <w:rFonts w:ascii="Calibri" w:hAnsi="Calibri"/>
                <w:color w:val="auto"/>
                <w:sz w:val="16"/>
                <w:szCs w:val="16"/>
                <w:lang w:val="sr-Cyrl-RS"/>
              </w:rPr>
            </w:pPr>
            <w:r>
              <w:rPr>
                <w:rFonts w:ascii="Calibri" w:hAnsi="Calibri"/>
                <w:color w:val="auto"/>
                <w:sz w:val="16"/>
                <w:szCs w:val="16"/>
              </w:rPr>
              <w:t>08.06.2025</w:t>
            </w:r>
          </w:p>
        </w:tc>
      </w:tr>
      <w:tr w:rsidR="009A46DA" w:rsidRPr="00C442DB" w14:paraId="69C58603" w14:textId="77777777" w:rsidTr="009A46DA">
        <w:trPr>
          <w:gridBefore w:val="1"/>
          <w:wBefore w:w="15" w:type="dxa"/>
          <w:trHeight w:val="720"/>
        </w:trPr>
        <w:tc>
          <w:tcPr>
            <w:tcW w:w="530"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05743AFC"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РЕД. БР</w:t>
            </w:r>
          </w:p>
        </w:tc>
        <w:tc>
          <w:tcPr>
            <w:tcW w:w="993" w:type="dxa"/>
            <w:tcBorders>
              <w:top w:val="single" w:sz="4" w:space="0" w:color="auto"/>
              <w:left w:val="nil"/>
              <w:bottom w:val="single" w:sz="4" w:space="0" w:color="auto"/>
              <w:right w:val="single" w:sz="4" w:space="0" w:color="auto"/>
            </w:tcBorders>
            <w:shd w:val="clear" w:color="000000" w:fill="8DB4E2"/>
            <w:vAlign w:val="center"/>
            <w:hideMark/>
          </w:tcPr>
          <w:p w14:paraId="570781AE"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ОЗНАКА ХОВ</w:t>
            </w:r>
          </w:p>
        </w:tc>
        <w:tc>
          <w:tcPr>
            <w:tcW w:w="1122" w:type="dxa"/>
            <w:gridSpan w:val="3"/>
            <w:tcBorders>
              <w:top w:val="single" w:sz="4" w:space="0" w:color="auto"/>
              <w:left w:val="nil"/>
              <w:bottom w:val="single" w:sz="4" w:space="0" w:color="auto"/>
              <w:right w:val="single" w:sz="4" w:space="0" w:color="auto"/>
            </w:tcBorders>
            <w:shd w:val="clear" w:color="000000" w:fill="8DB4E2"/>
            <w:noWrap/>
            <w:vAlign w:val="center"/>
            <w:hideMark/>
          </w:tcPr>
          <w:p w14:paraId="5606C986"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ИЗНОС ЕМИСИЈЕ</w:t>
            </w:r>
          </w:p>
        </w:tc>
        <w:tc>
          <w:tcPr>
            <w:tcW w:w="895" w:type="dxa"/>
            <w:gridSpan w:val="2"/>
            <w:tcBorders>
              <w:top w:val="single" w:sz="4" w:space="0" w:color="auto"/>
              <w:left w:val="nil"/>
              <w:bottom w:val="single" w:sz="4" w:space="0" w:color="auto"/>
              <w:right w:val="single" w:sz="4" w:space="0" w:color="auto"/>
            </w:tcBorders>
            <w:shd w:val="clear" w:color="000000" w:fill="8DB4E2"/>
            <w:vAlign w:val="center"/>
            <w:hideMark/>
          </w:tcPr>
          <w:p w14:paraId="5D6E074C"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БРОЈ ОБВЕЗНИЦА</w:t>
            </w:r>
          </w:p>
        </w:tc>
        <w:tc>
          <w:tcPr>
            <w:tcW w:w="996" w:type="dxa"/>
            <w:tcBorders>
              <w:top w:val="single" w:sz="4" w:space="0" w:color="auto"/>
              <w:left w:val="nil"/>
              <w:bottom w:val="single" w:sz="4" w:space="0" w:color="auto"/>
              <w:right w:val="single" w:sz="4" w:space="0" w:color="auto"/>
            </w:tcBorders>
            <w:shd w:val="clear" w:color="000000" w:fill="8DB4E2"/>
            <w:vAlign w:val="center"/>
            <w:hideMark/>
          </w:tcPr>
          <w:p w14:paraId="611AE4D8"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КУПЉЕНИ ИЗНОС</w:t>
            </w:r>
          </w:p>
        </w:tc>
        <w:tc>
          <w:tcPr>
            <w:tcW w:w="855" w:type="dxa"/>
            <w:tcBorders>
              <w:top w:val="single" w:sz="4" w:space="0" w:color="auto"/>
              <w:left w:val="nil"/>
              <w:bottom w:val="single" w:sz="4" w:space="0" w:color="auto"/>
              <w:right w:val="single" w:sz="4" w:space="0" w:color="auto"/>
            </w:tcBorders>
            <w:shd w:val="clear" w:color="000000" w:fill="8DB4E2"/>
            <w:vAlign w:val="center"/>
            <w:hideMark/>
          </w:tcPr>
          <w:p w14:paraId="5FCA246F"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КАМАТНА СТОПА</w:t>
            </w:r>
          </w:p>
        </w:tc>
        <w:tc>
          <w:tcPr>
            <w:tcW w:w="995" w:type="dxa"/>
            <w:tcBorders>
              <w:top w:val="single" w:sz="4" w:space="0" w:color="auto"/>
              <w:left w:val="nil"/>
              <w:bottom w:val="single" w:sz="4" w:space="0" w:color="auto"/>
              <w:right w:val="single" w:sz="4" w:space="0" w:color="auto"/>
            </w:tcBorders>
            <w:shd w:val="clear" w:color="000000" w:fill="8DB4E2"/>
            <w:vAlign w:val="center"/>
            <w:hideMark/>
          </w:tcPr>
          <w:p w14:paraId="68E49ABA"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СТАЊЕ НА ДАН 31.12.2023</w:t>
            </w:r>
          </w:p>
        </w:tc>
        <w:tc>
          <w:tcPr>
            <w:tcW w:w="878" w:type="dxa"/>
            <w:gridSpan w:val="2"/>
            <w:tcBorders>
              <w:top w:val="single" w:sz="4" w:space="0" w:color="auto"/>
              <w:left w:val="nil"/>
              <w:bottom w:val="single" w:sz="4" w:space="0" w:color="auto"/>
              <w:right w:val="single" w:sz="4" w:space="0" w:color="auto"/>
            </w:tcBorders>
            <w:shd w:val="clear" w:color="000000" w:fill="8DB4E2"/>
            <w:noWrap/>
            <w:vAlign w:val="center"/>
            <w:hideMark/>
          </w:tcPr>
          <w:p w14:paraId="2510BAB2" w14:textId="77777777" w:rsidR="009A46DA" w:rsidRPr="00C442DB" w:rsidRDefault="009A46DA" w:rsidP="00A642CC">
            <w:pPr>
              <w:jc w:val="center"/>
              <w:rPr>
                <w:rFonts w:ascii="Calibri" w:hAnsi="Calibri"/>
                <w:b/>
                <w:bCs/>
                <w:sz w:val="16"/>
                <w:szCs w:val="16"/>
              </w:rPr>
            </w:pPr>
            <w:r w:rsidRPr="00C442DB">
              <w:rPr>
                <w:rFonts w:ascii="Calibri" w:hAnsi="Calibri"/>
                <w:b/>
                <w:bCs/>
                <w:sz w:val="16"/>
                <w:szCs w:val="16"/>
              </w:rPr>
              <w:t>КАПИТАЛИСАЊЕ</w:t>
            </w:r>
          </w:p>
        </w:tc>
        <w:tc>
          <w:tcPr>
            <w:tcW w:w="995" w:type="dxa"/>
            <w:gridSpan w:val="2"/>
            <w:tcBorders>
              <w:top w:val="single" w:sz="4" w:space="0" w:color="auto"/>
              <w:left w:val="nil"/>
              <w:bottom w:val="single" w:sz="4" w:space="0" w:color="auto"/>
              <w:right w:val="single" w:sz="4" w:space="0" w:color="auto"/>
            </w:tcBorders>
            <w:shd w:val="clear" w:color="000000" w:fill="8DB4E2"/>
            <w:vAlign w:val="center"/>
            <w:hideMark/>
          </w:tcPr>
          <w:p w14:paraId="0DD71270" w14:textId="77777777" w:rsidR="009A46DA" w:rsidRPr="00C442DB" w:rsidRDefault="009A46DA" w:rsidP="00A642CC">
            <w:pPr>
              <w:ind w:right="-71"/>
              <w:jc w:val="center"/>
              <w:rPr>
                <w:rFonts w:ascii="Calibri" w:hAnsi="Calibri"/>
                <w:b/>
                <w:bCs/>
                <w:sz w:val="16"/>
                <w:szCs w:val="16"/>
              </w:rPr>
            </w:pPr>
            <w:r w:rsidRPr="00C442DB">
              <w:rPr>
                <w:rFonts w:ascii="Calibri" w:hAnsi="Calibri"/>
                <w:b/>
                <w:bCs/>
                <w:sz w:val="16"/>
                <w:szCs w:val="16"/>
              </w:rPr>
              <w:t>ДАТУМ ДОСП</w:t>
            </w:r>
            <w:r>
              <w:rPr>
                <w:rFonts w:ascii="Calibri" w:hAnsi="Calibri"/>
                <w:b/>
                <w:bCs/>
                <w:sz w:val="16"/>
                <w:szCs w:val="16"/>
                <w:lang w:val="sr-Cyrl-RS"/>
              </w:rPr>
              <w:t>И</w:t>
            </w:r>
            <w:r w:rsidRPr="00C442DB">
              <w:rPr>
                <w:rFonts w:ascii="Calibri" w:hAnsi="Calibri"/>
                <w:b/>
                <w:bCs/>
                <w:sz w:val="16"/>
                <w:szCs w:val="16"/>
              </w:rPr>
              <w:t>ЈЕЋА</w:t>
            </w:r>
          </w:p>
        </w:tc>
        <w:tc>
          <w:tcPr>
            <w:tcW w:w="813" w:type="dxa"/>
            <w:tcBorders>
              <w:top w:val="single" w:sz="4" w:space="0" w:color="auto"/>
              <w:left w:val="nil"/>
              <w:bottom w:val="single" w:sz="4" w:space="0" w:color="auto"/>
              <w:right w:val="single" w:sz="4" w:space="0" w:color="auto"/>
            </w:tcBorders>
            <w:shd w:val="clear" w:color="000000" w:fill="8DB4E2"/>
            <w:vAlign w:val="center"/>
            <w:hideMark/>
          </w:tcPr>
          <w:p w14:paraId="0EEB0904" w14:textId="77777777" w:rsidR="009A46DA" w:rsidRPr="00C442DB" w:rsidRDefault="009A46DA" w:rsidP="00A642CC">
            <w:pPr>
              <w:ind w:left="-145" w:right="-61"/>
              <w:jc w:val="center"/>
              <w:rPr>
                <w:rFonts w:ascii="Calibri" w:hAnsi="Calibri"/>
                <w:b/>
                <w:bCs/>
                <w:sz w:val="16"/>
                <w:szCs w:val="16"/>
              </w:rPr>
            </w:pPr>
            <w:r w:rsidRPr="00C442DB">
              <w:rPr>
                <w:rFonts w:ascii="Calibri" w:hAnsi="Calibri"/>
                <w:b/>
                <w:bCs/>
                <w:sz w:val="16"/>
                <w:szCs w:val="16"/>
              </w:rPr>
              <w:t>ДАТУМ ДОСП</w:t>
            </w:r>
            <w:r>
              <w:rPr>
                <w:rFonts w:ascii="Calibri" w:hAnsi="Calibri"/>
                <w:b/>
                <w:bCs/>
                <w:sz w:val="16"/>
                <w:szCs w:val="16"/>
                <w:lang w:val="sr-Cyrl-RS"/>
              </w:rPr>
              <w:t>И</w:t>
            </w:r>
            <w:r w:rsidRPr="00C442DB">
              <w:rPr>
                <w:rFonts w:ascii="Calibri" w:hAnsi="Calibri"/>
                <w:b/>
                <w:bCs/>
                <w:sz w:val="16"/>
                <w:szCs w:val="16"/>
              </w:rPr>
              <w:t>ЈЕЋА КУПОНА</w:t>
            </w:r>
          </w:p>
        </w:tc>
      </w:tr>
      <w:tr w:rsidR="00C442DB" w:rsidRPr="00C442DB" w14:paraId="5D81DAFE" w14:textId="77777777" w:rsidTr="009A46DA">
        <w:trPr>
          <w:trHeight w:val="315"/>
        </w:trPr>
        <w:tc>
          <w:tcPr>
            <w:tcW w:w="545" w:type="dxa"/>
            <w:gridSpan w:val="2"/>
            <w:tcBorders>
              <w:top w:val="nil"/>
              <w:left w:val="single" w:sz="4" w:space="0" w:color="auto"/>
              <w:bottom w:val="nil"/>
              <w:right w:val="single" w:sz="4" w:space="0" w:color="auto"/>
            </w:tcBorders>
            <w:shd w:val="clear" w:color="auto" w:fill="auto"/>
            <w:noWrap/>
            <w:vAlign w:val="center"/>
            <w:hideMark/>
          </w:tcPr>
          <w:p w14:paraId="0A04558A" w14:textId="77777777" w:rsidR="00C442DB" w:rsidRPr="00C442DB" w:rsidRDefault="00C442DB" w:rsidP="00C442DB">
            <w:pPr>
              <w:jc w:val="center"/>
              <w:rPr>
                <w:rFonts w:ascii="Calibri" w:hAnsi="Calibri"/>
                <w:sz w:val="16"/>
                <w:szCs w:val="16"/>
              </w:rPr>
            </w:pPr>
            <w:r w:rsidRPr="00C442DB">
              <w:rPr>
                <w:rFonts w:ascii="Calibri" w:hAnsi="Calibri"/>
                <w:sz w:val="16"/>
                <w:szCs w:val="16"/>
              </w:rPr>
              <w:t>16</w:t>
            </w:r>
          </w:p>
        </w:tc>
        <w:tc>
          <w:tcPr>
            <w:tcW w:w="993" w:type="dxa"/>
            <w:tcBorders>
              <w:top w:val="nil"/>
              <w:left w:val="nil"/>
              <w:bottom w:val="nil"/>
              <w:right w:val="single" w:sz="4" w:space="0" w:color="auto"/>
            </w:tcBorders>
            <w:shd w:val="clear" w:color="auto" w:fill="auto"/>
            <w:noWrap/>
            <w:vAlign w:val="bottom"/>
            <w:hideMark/>
          </w:tcPr>
          <w:p w14:paraId="63524FDE" w14:textId="77777777" w:rsidR="00C442DB" w:rsidRPr="00C442DB" w:rsidRDefault="00C442DB" w:rsidP="00C442DB">
            <w:pPr>
              <w:jc w:val="left"/>
              <w:rPr>
                <w:rFonts w:ascii="Calibri" w:hAnsi="Calibri"/>
                <w:sz w:val="16"/>
                <w:szCs w:val="16"/>
              </w:rPr>
            </w:pPr>
            <w:r w:rsidRPr="00C442DB">
              <w:rPr>
                <w:rFonts w:ascii="Calibri" w:hAnsi="Calibri"/>
                <w:sz w:val="16"/>
                <w:szCs w:val="16"/>
              </w:rPr>
              <w:t>GRPD-O-A Grad Prijedor</w:t>
            </w:r>
          </w:p>
        </w:tc>
        <w:tc>
          <w:tcPr>
            <w:tcW w:w="1122" w:type="dxa"/>
            <w:gridSpan w:val="3"/>
            <w:tcBorders>
              <w:top w:val="nil"/>
              <w:left w:val="nil"/>
              <w:bottom w:val="nil"/>
              <w:right w:val="single" w:sz="4" w:space="0" w:color="auto"/>
            </w:tcBorders>
            <w:shd w:val="clear" w:color="auto" w:fill="auto"/>
            <w:noWrap/>
            <w:vAlign w:val="bottom"/>
            <w:hideMark/>
          </w:tcPr>
          <w:p w14:paraId="67CEF573" w14:textId="77777777" w:rsidR="00C442DB" w:rsidRPr="00C442DB" w:rsidRDefault="00C442DB" w:rsidP="00C442DB">
            <w:pPr>
              <w:jc w:val="right"/>
              <w:rPr>
                <w:rFonts w:ascii="Calibri" w:hAnsi="Calibri"/>
                <w:sz w:val="16"/>
                <w:szCs w:val="16"/>
              </w:rPr>
            </w:pPr>
            <w:r w:rsidRPr="00C442DB">
              <w:rPr>
                <w:rFonts w:ascii="Calibri" w:hAnsi="Calibri"/>
                <w:sz w:val="16"/>
                <w:szCs w:val="16"/>
              </w:rPr>
              <w:t>5.500.000,00</w:t>
            </w:r>
          </w:p>
        </w:tc>
        <w:tc>
          <w:tcPr>
            <w:tcW w:w="895" w:type="dxa"/>
            <w:gridSpan w:val="2"/>
            <w:tcBorders>
              <w:top w:val="nil"/>
              <w:left w:val="nil"/>
              <w:bottom w:val="nil"/>
              <w:right w:val="single" w:sz="4" w:space="0" w:color="auto"/>
            </w:tcBorders>
            <w:shd w:val="clear" w:color="000000" w:fill="FFFFFF"/>
            <w:noWrap/>
            <w:vAlign w:val="bottom"/>
            <w:hideMark/>
          </w:tcPr>
          <w:p w14:paraId="09AB3C02"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nil"/>
              <w:right w:val="single" w:sz="4" w:space="0" w:color="auto"/>
            </w:tcBorders>
            <w:shd w:val="clear" w:color="auto" w:fill="auto"/>
            <w:noWrap/>
            <w:vAlign w:val="bottom"/>
            <w:hideMark/>
          </w:tcPr>
          <w:p w14:paraId="0929DC8A"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nil"/>
              <w:right w:val="nil"/>
            </w:tcBorders>
            <w:shd w:val="clear" w:color="auto" w:fill="auto"/>
            <w:noWrap/>
            <w:vAlign w:val="bottom"/>
            <w:hideMark/>
          </w:tcPr>
          <w:p w14:paraId="25FE5C5F"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5" w:type="dxa"/>
            <w:tcBorders>
              <w:top w:val="nil"/>
              <w:left w:val="single" w:sz="4" w:space="0" w:color="auto"/>
              <w:bottom w:val="nil"/>
              <w:right w:val="single" w:sz="4" w:space="0" w:color="auto"/>
            </w:tcBorders>
            <w:shd w:val="clear" w:color="auto" w:fill="auto"/>
            <w:noWrap/>
            <w:vAlign w:val="bottom"/>
            <w:hideMark/>
          </w:tcPr>
          <w:p w14:paraId="2A2A71DE" w14:textId="77777777" w:rsidR="00C442DB" w:rsidRPr="00C442DB" w:rsidRDefault="00C442DB" w:rsidP="00C442DB">
            <w:pPr>
              <w:jc w:val="right"/>
              <w:rPr>
                <w:rFonts w:ascii="Calibri" w:hAnsi="Calibri"/>
                <w:sz w:val="16"/>
                <w:szCs w:val="16"/>
              </w:rPr>
            </w:pPr>
            <w:r w:rsidRPr="00C442DB">
              <w:rPr>
                <w:rFonts w:ascii="Calibri" w:hAnsi="Calibri"/>
                <w:sz w:val="16"/>
                <w:szCs w:val="16"/>
              </w:rPr>
              <w:t>280.314,04</w:t>
            </w:r>
          </w:p>
        </w:tc>
        <w:tc>
          <w:tcPr>
            <w:tcW w:w="878" w:type="dxa"/>
            <w:gridSpan w:val="2"/>
            <w:tcBorders>
              <w:top w:val="nil"/>
              <w:left w:val="nil"/>
              <w:bottom w:val="nil"/>
              <w:right w:val="single" w:sz="4" w:space="0" w:color="auto"/>
            </w:tcBorders>
            <w:shd w:val="clear" w:color="auto" w:fill="auto"/>
            <w:noWrap/>
            <w:vAlign w:val="bottom"/>
            <w:hideMark/>
          </w:tcPr>
          <w:p w14:paraId="395F24D2"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nil"/>
              <w:right w:val="single" w:sz="4" w:space="0" w:color="auto"/>
            </w:tcBorders>
            <w:shd w:val="clear" w:color="000000" w:fill="FFFFFF"/>
            <w:noWrap/>
            <w:vAlign w:val="bottom"/>
            <w:hideMark/>
          </w:tcPr>
          <w:p w14:paraId="12145798" w14:textId="77777777" w:rsidR="00C442DB" w:rsidRPr="00C442DB" w:rsidRDefault="00C442DB" w:rsidP="00C442DB">
            <w:pPr>
              <w:jc w:val="left"/>
              <w:rPr>
                <w:rFonts w:ascii="Calibri" w:hAnsi="Calibri"/>
                <w:sz w:val="16"/>
                <w:szCs w:val="16"/>
              </w:rPr>
            </w:pPr>
            <w:r w:rsidRPr="00C442DB">
              <w:rPr>
                <w:rFonts w:ascii="Calibri" w:hAnsi="Calibri"/>
                <w:sz w:val="16"/>
                <w:szCs w:val="16"/>
              </w:rPr>
              <w:t>01.02.2033.</w:t>
            </w:r>
          </w:p>
        </w:tc>
        <w:tc>
          <w:tcPr>
            <w:tcW w:w="813" w:type="dxa"/>
            <w:tcBorders>
              <w:top w:val="nil"/>
              <w:left w:val="nil"/>
              <w:bottom w:val="single" w:sz="4" w:space="0" w:color="auto"/>
              <w:right w:val="single" w:sz="4" w:space="0" w:color="auto"/>
            </w:tcBorders>
            <w:shd w:val="clear" w:color="auto" w:fill="auto"/>
            <w:noWrap/>
            <w:vAlign w:val="bottom"/>
            <w:hideMark/>
          </w:tcPr>
          <w:p w14:paraId="31712AC0"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01.08.2023</w:t>
            </w:r>
          </w:p>
        </w:tc>
      </w:tr>
      <w:tr w:rsidR="00A478B7" w:rsidRPr="00C442DB" w14:paraId="18BFB209" w14:textId="77777777" w:rsidTr="00077133">
        <w:trPr>
          <w:trHeight w:val="315"/>
        </w:trPr>
        <w:tc>
          <w:tcPr>
            <w:tcW w:w="3555" w:type="dxa"/>
            <w:gridSpan w:val="8"/>
            <w:tcBorders>
              <w:top w:val="single" w:sz="4" w:space="0" w:color="auto"/>
              <w:left w:val="single" w:sz="4" w:space="0" w:color="auto"/>
              <w:bottom w:val="single" w:sz="4" w:space="0" w:color="auto"/>
              <w:right w:val="single" w:sz="4" w:space="0" w:color="000000"/>
            </w:tcBorders>
            <w:shd w:val="clear" w:color="000000" w:fill="C5D9F1"/>
            <w:vAlign w:val="center"/>
            <w:hideMark/>
          </w:tcPr>
          <w:p w14:paraId="59BB3AE8" w14:textId="77777777" w:rsidR="00A478B7" w:rsidRPr="00C442DB" w:rsidRDefault="00A478B7" w:rsidP="00C442DB">
            <w:pPr>
              <w:jc w:val="center"/>
              <w:rPr>
                <w:rFonts w:ascii="Calibri" w:hAnsi="Calibri"/>
                <w:b/>
                <w:bCs/>
                <w:sz w:val="16"/>
                <w:szCs w:val="16"/>
              </w:rPr>
            </w:pPr>
            <w:r w:rsidRPr="00C442DB">
              <w:rPr>
                <w:rFonts w:ascii="Calibri" w:hAnsi="Calibri"/>
                <w:b/>
                <w:bCs/>
                <w:sz w:val="16"/>
                <w:szCs w:val="16"/>
              </w:rPr>
              <w:t>УКУПНО ХОВ ЛОКАЛНИХ ЗАЈЕДНИЦА (8)</w:t>
            </w:r>
          </w:p>
        </w:tc>
        <w:tc>
          <w:tcPr>
            <w:tcW w:w="996" w:type="dxa"/>
            <w:tcBorders>
              <w:top w:val="single" w:sz="4" w:space="0" w:color="auto"/>
              <w:left w:val="nil"/>
              <w:bottom w:val="single" w:sz="4" w:space="0" w:color="auto"/>
              <w:right w:val="single" w:sz="4" w:space="0" w:color="auto"/>
            </w:tcBorders>
            <w:shd w:val="clear" w:color="000000" w:fill="C5D9F1"/>
            <w:noWrap/>
            <w:vAlign w:val="center"/>
            <w:hideMark/>
          </w:tcPr>
          <w:p w14:paraId="7ECFC10D" w14:textId="77777777" w:rsidR="00A478B7" w:rsidRPr="00C442DB" w:rsidRDefault="00A478B7" w:rsidP="00C442DB">
            <w:pPr>
              <w:ind w:right="-108"/>
              <w:jc w:val="right"/>
              <w:rPr>
                <w:rFonts w:ascii="Calibri" w:hAnsi="Calibri"/>
                <w:b/>
                <w:bCs/>
                <w:sz w:val="16"/>
                <w:szCs w:val="16"/>
              </w:rPr>
            </w:pPr>
            <w:r w:rsidRPr="00C442DB">
              <w:rPr>
                <w:rFonts w:ascii="Calibri" w:hAnsi="Calibri"/>
                <w:b/>
                <w:bCs/>
                <w:sz w:val="16"/>
                <w:szCs w:val="16"/>
              </w:rPr>
              <w:t>2.188.209,23</w:t>
            </w:r>
          </w:p>
        </w:tc>
        <w:tc>
          <w:tcPr>
            <w:tcW w:w="4536" w:type="dxa"/>
            <w:gridSpan w:val="7"/>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8373382" w14:textId="5394DF4F" w:rsidR="00A478B7" w:rsidRPr="00C442DB" w:rsidRDefault="00A478B7" w:rsidP="00C442DB">
            <w:pPr>
              <w:ind w:right="-108"/>
              <w:jc w:val="right"/>
              <w:rPr>
                <w:rFonts w:ascii="Calibri" w:hAnsi="Calibri"/>
                <w:b/>
                <w:bCs/>
                <w:sz w:val="16"/>
                <w:szCs w:val="16"/>
              </w:rPr>
            </w:pPr>
            <w:r w:rsidRPr="00C442DB">
              <w:rPr>
                <w:rFonts w:ascii="Calibri" w:hAnsi="Calibri"/>
                <w:b/>
                <w:bCs/>
                <w:sz w:val="16"/>
                <w:szCs w:val="16"/>
              </w:rPr>
              <w:t> </w:t>
            </w:r>
            <w:r>
              <w:rPr>
                <w:rFonts w:ascii="Calibri" w:hAnsi="Calibri"/>
                <w:b/>
                <w:bCs/>
                <w:sz w:val="16"/>
                <w:szCs w:val="16"/>
                <w:lang w:val="sr-Cyrl-RS"/>
              </w:rPr>
              <w:t xml:space="preserve">                      </w:t>
            </w:r>
            <w:r w:rsidRPr="00C442DB">
              <w:rPr>
                <w:rFonts w:ascii="Calibri" w:hAnsi="Calibri"/>
                <w:b/>
                <w:bCs/>
                <w:sz w:val="16"/>
                <w:szCs w:val="16"/>
              </w:rPr>
              <w:t>1.692.542,96</w:t>
            </w:r>
          </w:p>
        </w:tc>
      </w:tr>
      <w:tr w:rsidR="00C442DB" w:rsidRPr="00C442DB" w14:paraId="12832901"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1DC968" w14:textId="77777777" w:rsidR="00C442DB" w:rsidRPr="00C442DB" w:rsidRDefault="00C442DB" w:rsidP="00C442DB">
            <w:pPr>
              <w:jc w:val="center"/>
              <w:rPr>
                <w:rFonts w:ascii="Calibri" w:hAnsi="Calibri"/>
                <w:sz w:val="16"/>
                <w:szCs w:val="16"/>
              </w:rPr>
            </w:pPr>
            <w:r w:rsidRPr="00C442DB">
              <w:rPr>
                <w:rFonts w:ascii="Calibri" w:hAnsi="Calibri"/>
                <w:sz w:val="16"/>
                <w:szCs w:val="16"/>
              </w:rPr>
              <w:t>17</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4AC44EDB" w14:textId="77777777" w:rsidR="00C442DB" w:rsidRPr="00C442DB" w:rsidRDefault="00C442DB" w:rsidP="00C442DB">
            <w:pPr>
              <w:jc w:val="left"/>
              <w:rPr>
                <w:rFonts w:ascii="Calibri" w:hAnsi="Calibri"/>
                <w:sz w:val="16"/>
                <w:szCs w:val="16"/>
              </w:rPr>
            </w:pPr>
            <w:r w:rsidRPr="00C442DB">
              <w:rPr>
                <w:rFonts w:ascii="Calibri" w:hAnsi="Calibri"/>
                <w:sz w:val="16"/>
                <w:szCs w:val="16"/>
              </w:rPr>
              <w:t>NOVB-O-G  Nova banka</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68120A9D" w14:textId="77777777" w:rsidR="00C442DB" w:rsidRPr="00C442DB" w:rsidRDefault="00C442DB" w:rsidP="00AF0599">
            <w:pPr>
              <w:ind w:right="-157"/>
              <w:rPr>
                <w:rFonts w:ascii="Calibri" w:hAnsi="Calibri"/>
                <w:sz w:val="16"/>
                <w:szCs w:val="16"/>
              </w:rPr>
            </w:pPr>
            <w:r w:rsidRPr="00C442DB">
              <w:rPr>
                <w:rFonts w:ascii="Calibri" w:hAnsi="Calibri"/>
                <w:sz w:val="16"/>
                <w:szCs w:val="16"/>
              </w:rPr>
              <w:t>37.600.000,00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172E07D2" w14:textId="77777777" w:rsidR="00C442DB" w:rsidRPr="00C442DB" w:rsidRDefault="00C442DB" w:rsidP="00C442DB">
            <w:pPr>
              <w:jc w:val="right"/>
              <w:rPr>
                <w:rFonts w:ascii="Calibri" w:hAnsi="Calibri"/>
                <w:sz w:val="16"/>
                <w:szCs w:val="16"/>
              </w:rPr>
            </w:pPr>
            <w:r w:rsidRPr="00C442DB">
              <w:rPr>
                <w:rFonts w:ascii="Calibri" w:hAnsi="Calibri"/>
                <w:sz w:val="16"/>
                <w:szCs w:val="16"/>
              </w:rPr>
              <w:t>6.000</w:t>
            </w:r>
          </w:p>
        </w:tc>
        <w:tc>
          <w:tcPr>
            <w:tcW w:w="996" w:type="dxa"/>
            <w:tcBorders>
              <w:top w:val="nil"/>
              <w:left w:val="nil"/>
              <w:bottom w:val="single" w:sz="4" w:space="0" w:color="auto"/>
              <w:right w:val="single" w:sz="4" w:space="0" w:color="auto"/>
            </w:tcBorders>
            <w:shd w:val="clear" w:color="auto" w:fill="auto"/>
            <w:noWrap/>
            <w:vAlign w:val="bottom"/>
            <w:hideMark/>
          </w:tcPr>
          <w:p w14:paraId="5BEED483"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w:t>
            </w:r>
          </w:p>
        </w:tc>
        <w:tc>
          <w:tcPr>
            <w:tcW w:w="855" w:type="dxa"/>
            <w:tcBorders>
              <w:top w:val="nil"/>
              <w:left w:val="nil"/>
              <w:bottom w:val="single" w:sz="4" w:space="0" w:color="auto"/>
              <w:right w:val="single" w:sz="4" w:space="0" w:color="auto"/>
            </w:tcBorders>
            <w:shd w:val="clear" w:color="auto" w:fill="auto"/>
            <w:noWrap/>
            <w:vAlign w:val="bottom"/>
            <w:hideMark/>
          </w:tcPr>
          <w:p w14:paraId="745B7B88"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749EF75B"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1844E14"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BB41E06" w14:textId="77777777" w:rsidR="00C442DB" w:rsidRPr="00C442DB" w:rsidRDefault="00C442DB" w:rsidP="00C442DB">
            <w:pPr>
              <w:jc w:val="left"/>
              <w:rPr>
                <w:rFonts w:ascii="Calibri" w:hAnsi="Calibri"/>
                <w:sz w:val="16"/>
                <w:szCs w:val="16"/>
              </w:rPr>
            </w:pPr>
            <w:r w:rsidRPr="00C442DB">
              <w:rPr>
                <w:rFonts w:ascii="Calibri" w:hAnsi="Calibri"/>
                <w:sz w:val="16"/>
                <w:szCs w:val="16"/>
              </w:rPr>
              <w:t>04.11.2029.</w:t>
            </w:r>
          </w:p>
        </w:tc>
        <w:tc>
          <w:tcPr>
            <w:tcW w:w="813" w:type="dxa"/>
            <w:tcBorders>
              <w:top w:val="nil"/>
              <w:left w:val="nil"/>
              <w:bottom w:val="single" w:sz="4" w:space="0" w:color="auto"/>
              <w:right w:val="single" w:sz="4" w:space="0" w:color="auto"/>
            </w:tcBorders>
            <w:shd w:val="clear" w:color="auto" w:fill="auto"/>
            <w:noWrap/>
            <w:vAlign w:val="bottom"/>
            <w:hideMark/>
          </w:tcPr>
          <w:p w14:paraId="67F08DF7"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04.11.2023</w:t>
            </w:r>
          </w:p>
        </w:tc>
      </w:tr>
      <w:tr w:rsidR="00C442DB" w:rsidRPr="00C442DB" w14:paraId="501E7080"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C8D0E5" w14:textId="77777777" w:rsidR="00C442DB" w:rsidRPr="00C442DB" w:rsidRDefault="00C442DB" w:rsidP="00C442DB">
            <w:pPr>
              <w:jc w:val="center"/>
              <w:rPr>
                <w:rFonts w:ascii="Calibri" w:hAnsi="Calibri"/>
                <w:sz w:val="16"/>
                <w:szCs w:val="16"/>
              </w:rPr>
            </w:pPr>
            <w:r w:rsidRPr="00C442DB">
              <w:rPr>
                <w:rFonts w:ascii="Calibri" w:hAnsi="Calibri"/>
                <w:sz w:val="16"/>
                <w:szCs w:val="16"/>
              </w:rPr>
              <w:t>18</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4F02D09C" w14:textId="77777777" w:rsidR="00C442DB" w:rsidRPr="00C442DB" w:rsidRDefault="00C442DB" w:rsidP="00C442DB">
            <w:pPr>
              <w:jc w:val="left"/>
              <w:rPr>
                <w:rFonts w:ascii="Calibri" w:hAnsi="Calibri"/>
                <w:sz w:val="16"/>
                <w:szCs w:val="16"/>
              </w:rPr>
            </w:pPr>
            <w:r w:rsidRPr="00C442DB">
              <w:rPr>
                <w:rFonts w:ascii="Calibri" w:hAnsi="Calibri"/>
                <w:sz w:val="16"/>
                <w:szCs w:val="16"/>
              </w:rPr>
              <w:t>MDPF -O-G MKD PRO FIN</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3A09CE55"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253D6EAB" w14:textId="77777777" w:rsidR="00C442DB" w:rsidRPr="00C442DB" w:rsidRDefault="00C442DB" w:rsidP="00C442DB">
            <w:pPr>
              <w:jc w:val="right"/>
              <w:rPr>
                <w:rFonts w:ascii="Calibri" w:hAnsi="Calibri"/>
                <w:sz w:val="16"/>
                <w:szCs w:val="16"/>
              </w:rPr>
            </w:pPr>
            <w:r w:rsidRPr="00C442DB">
              <w:rPr>
                <w:rFonts w:ascii="Calibri" w:hAnsi="Calibri"/>
                <w:sz w:val="16"/>
                <w:szCs w:val="16"/>
              </w:rPr>
              <w:t>20.000</w:t>
            </w:r>
          </w:p>
        </w:tc>
        <w:tc>
          <w:tcPr>
            <w:tcW w:w="996" w:type="dxa"/>
            <w:tcBorders>
              <w:top w:val="nil"/>
              <w:left w:val="nil"/>
              <w:bottom w:val="single" w:sz="4" w:space="0" w:color="auto"/>
              <w:right w:val="single" w:sz="4" w:space="0" w:color="auto"/>
            </w:tcBorders>
            <w:shd w:val="clear" w:color="auto" w:fill="auto"/>
            <w:noWrap/>
            <w:vAlign w:val="bottom"/>
            <w:hideMark/>
          </w:tcPr>
          <w:p w14:paraId="40CB5D27" w14:textId="77777777" w:rsidR="00C442DB" w:rsidRPr="00C442DB" w:rsidRDefault="00C442DB" w:rsidP="00C442DB">
            <w:pPr>
              <w:jc w:val="right"/>
              <w:rPr>
                <w:rFonts w:ascii="Calibri" w:hAnsi="Calibri"/>
                <w:sz w:val="16"/>
                <w:szCs w:val="16"/>
              </w:rPr>
            </w:pPr>
            <w:r w:rsidRPr="00C442DB">
              <w:rPr>
                <w:rFonts w:ascii="Calibri" w:hAnsi="Calibri"/>
                <w:sz w:val="16"/>
                <w:szCs w:val="16"/>
              </w:rPr>
              <w:t>150.000,00</w:t>
            </w:r>
          </w:p>
        </w:tc>
        <w:tc>
          <w:tcPr>
            <w:tcW w:w="855" w:type="dxa"/>
            <w:tcBorders>
              <w:top w:val="nil"/>
              <w:left w:val="nil"/>
              <w:bottom w:val="single" w:sz="4" w:space="0" w:color="auto"/>
              <w:right w:val="single" w:sz="4" w:space="0" w:color="auto"/>
            </w:tcBorders>
            <w:shd w:val="clear" w:color="auto" w:fill="auto"/>
            <w:noWrap/>
            <w:vAlign w:val="bottom"/>
            <w:hideMark/>
          </w:tcPr>
          <w:p w14:paraId="54C18280"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1EB84078" w14:textId="77777777" w:rsidR="00C442DB" w:rsidRPr="00C442DB" w:rsidRDefault="00C442DB" w:rsidP="00C442DB">
            <w:pPr>
              <w:jc w:val="right"/>
              <w:rPr>
                <w:rFonts w:ascii="Calibri" w:hAnsi="Calibri"/>
                <w:sz w:val="16"/>
                <w:szCs w:val="16"/>
              </w:rPr>
            </w:pPr>
            <w:r w:rsidRPr="00C442DB">
              <w:rPr>
                <w:rFonts w:ascii="Calibri" w:hAnsi="Calibri"/>
                <w:sz w:val="16"/>
                <w:szCs w:val="16"/>
              </w:rPr>
              <w:t>142.519,83</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D8DF883"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6A8386EA" w14:textId="77777777" w:rsidR="00C442DB" w:rsidRPr="00C442DB" w:rsidRDefault="00C442DB" w:rsidP="00C442DB">
            <w:pPr>
              <w:jc w:val="left"/>
              <w:rPr>
                <w:rFonts w:ascii="Calibri" w:hAnsi="Calibri"/>
                <w:sz w:val="16"/>
                <w:szCs w:val="16"/>
              </w:rPr>
            </w:pPr>
            <w:r w:rsidRPr="00C442DB">
              <w:rPr>
                <w:rFonts w:ascii="Calibri" w:hAnsi="Calibri"/>
                <w:sz w:val="16"/>
                <w:szCs w:val="16"/>
              </w:rPr>
              <w:t>03.11.2026.</w:t>
            </w:r>
          </w:p>
        </w:tc>
        <w:tc>
          <w:tcPr>
            <w:tcW w:w="813" w:type="dxa"/>
            <w:tcBorders>
              <w:top w:val="nil"/>
              <w:left w:val="nil"/>
              <w:bottom w:val="single" w:sz="4" w:space="0" w:color="auto"/>
              <w:right w:val="single" w:sz="4" w:space="0" w:color="auto"/>
            </w:tcBorders>
            <w:shd w:val="clear" w:color="auto" w:fill="auto"/>
            <w:noWrap/>
            <w:vAlign w:val="bottom"/>
            <w:hideMark/>
          </w:tcPr>
          <w:p w14:paraId="52DBAA3B"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12.10.2023</w:t>
            </w:r>
          </w:p>
        </w:tc>
      </w:tr>
      <w:tr w:rsidR="00C442DB" w:rsidRPr="00C442DB" w14:paraId="63CBD03A"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ACEBAE3" w14:textId="77777777" w:rsidR="00C442DB" w:rsidRPr="00C442DB" w:rsidRDefault="00C442DB" w:rsidP="00C442DB">
            <w:pPr>
              <w:jc w:val="center"/>
              <w:rPr>
                <w:rFonts w:ascii="Calibri" w:hAnsi="Calibri"/>
                <w:sz w:val="16"/>
                <w:szCs w:val="16"/>
              </w:rPr>
            </w:pPr>
            <w:r w:rsidRPr="00C442DB">
              <w:rPr>
                <w:rFonts w:ascii="Calibri" w:hAnsi="Calibri"/>
                <w:sz w:val="16"/>
                <w:szCs w:val="16"/>
              </w:rPr>
              <w:t>19</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27E46EE2"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MDPF-O-B MKD PRO-FIN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017E9478"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0127431"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0F006947"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1DD36FFC"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537BC9F2" w14:textId="77777777" w:rsidR="00C442DB" w:rsidRPr="00C442DB" w:rsidRDefault="00C442DB" w:rsidP="00C442DB">
            <w:pPr>
              <w:jc w:val="right"/>
              <w:rPr>
                <w:rFonts w:ascii="Calibri" w:hAnsi="Calibri"/>
                <w:sz w:val="16"/>
                <w:szCs w:val="16"/>
              </w:rPr>
            </w:pPr>
            <w:r w:rsidRPr="00C442DB">
              <w:rPr>
                <w:rFonts w:ascii="Calibri" w:hAnsi="Calibri"/>
                <w:sz w:val="16"/>
                <w:szCs w:val="16"/>
              </w:rPr>
              <w:t>60.933,13</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EFF39FB"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30602FB2" w14:textId="77777777" w:rsidR="00C442DB" w:rsidRPr="00C442DB" w:rsidRDefault="00C442DB" w:rsidP="00C442DB">
            <w:pPr>
              <w:jc w:val="left"/>
              <w:rPr>
                <w:rFonts w:ascii="Calibri" w:hAnsi="Calibri"/>
                <w:sz w:val="16"/>
                <w:szCs w:val="16"/>
              </w:rPr>
            </w:pPr>
            <w:r w:rsidRPr="00C442DB">
              <w:rPr>
                <w:rFonts w:ascii="Calibri" w:hAnsi="Calibri"/>
                <w:sz w:val="16"/>
                <w:szCs w:val="16"/>
              </w:rPr>
              <w:t>17.11.2024.</w:t>
            </w:r>
          </w:p>
        </w:tc>
        <w:tc>
          <w:tcPr>
            <w:tcW w:w="813" w:type="dxa"/>
            <w:tcBorders>
              <w:top w:val="nil"/>
              <w:left w:val="nil"/>
              <w:bottom w:val="single" w:sz="4" w:space="0" w:color="auto"/>
              <w:right w:val="single" w:sz="4" w:space="0" w:color="auto"/>
            </w:tcBorders>
            <w:shd w:val="clear" w:color="auto" w:fill="auto"/>
            <w:noWrap/>
            <w:vAlign w:val="bottom"/>
            <w:hideMark/>
          </w:tcPr>
          <w:p w14:paraId="75128D83"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17.12.2024</w:t>
            </w:r>
          </w:p>
        </w:tc>
      </w:tr>
      <w:tr w:rsidR="00C442DB" w:rsidRPr="00C442DB" w14:paraId="7B0592F8"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0021CE" w14:textId="77777777" w:rsidR="00C442DB" w:rsidRPr="00C442DB" w:rsidRDefault="00C442DB" w:rsidP="00C442DB">
            <w:pPr>
              <w:jc w:val="center"/>
              <w:rPr>
                <w:rFonts w:ascii="Calibri" w:hAnsi="Calibri"/>
                <w:sz w:val="16"/>
                <w:szCs w:val="16"/>
              </w:rPr>
            </w:pPr>
            <w:r w:rsidRPr="00C442DB">
              <w:rPr>
                <w:rFonts w:ascii="Calibri" w:hAnsi="Calibri"/>
                <w:sz w:val="16"/>
                <w:szCs w:val="16"/>
              </w:rPr>
              <w:t>20</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291DA26C"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MDPF-O-E MKD PRO-FIN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70ECC0C1"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45AB9CCE" w14:textId="77777777" w:rsidR="00C442DB" w:rsidRPr="00C442DB" w:rsidRDefault="00C442DB" w:rsidP="00C442DB">
            <w:pPr>
              <w:jc w:val="right"/>
              <w:rPr>
                <w:rFonts w:ascii="Calibri" w:hAnsi="Calibri"/>
                <w:sz w:val="16"/>
                <w:szCs w:val="16"/>
              </w:rPr>
            </w:pPr>
            <w:r w:rsidRPr="00C442DB">
              <w:rPr>
                <w:rFonts w:ascii="Calibri" w:hAnsi="Calibri"/>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14:paraId="63AB6BDE"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4256061B"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79350735" w14:textId="77777777" w:rsidR="00C442DB" w:rsidRPr="00C442DB" w:rsidRDefault="00C442DB" w:rsidP="00C442DB">
            <w:pPr>
              <w:jc w:val="right"/>
              <w:rPr>
                <w:rFonts w:ascii="Calibri" w:hAnsi="Calibri"/>
                <w:sz w:val="16"/>
                <w:szCs w:val="16"/>
              </w:rPr>
            </w:pPr>
            <w:r w:rsidRPr="00C442DB">
              <w:rPr>
                <w:rFonts w:ascii="Calibri" w:hAnsi="Calibri"/>
                <w:sz w:val="16"/>
                <w:szCs w:val="16"/>
              </w:rPr>
              <w:t>153.868,16</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2626E73"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533DE5D" w14:textId="77777777" w:rsidR="00C442DB" w:rsidRPr="00C442DB" w:rsidRDefault="00C442DB" w:rsidP="00C442DB">
            <w:pPr>
              <w:jc w:val="right"/>
              <w:rPr>
                <w:rFonts w:ascii="Calibri" w:hAnsi="Calibri"/>
                <w:sz w:val="16"/>
                <w:szCs w:val="16"/>
              </w:rPr>
            </w:pPr>
            <w:r w:rsidRPr="00C442DB">
              <w:rPr>
                <w:rFonts w:ascii="Calibri" w:hAnsi="Calibri"/>
                <w:sz w:val="16"/>
                <w:szCs w:val="16"/>
              </w:rPr>
              <w:t>23.03.2025</w:t>
            </w:r>
          </w:p>
        </w:tc>
        <w:tc>
          <w:tcPr>
            <w:tcW w:w="813" w:type="dxa"/>
            <w:tcBorders>
              <w:top w:val="nil"/>
              <w:left w:val="nil"/>
              <w:bottom w:val="single" w:sz="4" w:space="0" w:color="auto"/>
              <w:right w:val="single" w:sz="4" w:space="0" w:color="auto"/>
            </w:tcBorders>
            <w:shd w:val="clear" w:color="auto" w:fill="auto"/>
            <w:noWrap/>
            <w:vAlign w:val="bottom"/>
            <w:hideMark/>
          </w:tcPr>
          <w:p w14:paraId="01E64C31"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23.08.2023</w:t>
            </w:r>
          </w:p>
        </w:tc>
      </w:tr>
      <w:tr w:rsidR="00C442DB" w:rsidRPr="00C442DB" w14:paraId="2D965E28"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FE42384" w14:textId="77777777" w:rsidR="00C442DB" w:rsidRPr="00C442DB" w:rsidRDefault="00C442DB" w:rsidP="00C442DB">
            <w:pPr>
              <w:jc w:val="center"/>
              <w:rPr>
                <w:rFonts w:ascii="Calibri" w:hAnsi="Calibri"/>
                <w:sz w:val="16"/>
                <w:szCs w:val="16"/>
              </w:rPr>
            </w:pPr>
            <w:r w:rsidRPr="00C442DB">
              <w:rPr>
                <w:rFonts w:ascii="Calibri" w:hAnsi="Calibri"/>
                <w:sz w:val="16"/>
                <w:szCs w:val="16"/>
              </w:rPr>
              <w:t>21</w:t>
            </w:r>
          </w:p>
        </w:tc>
        <w:tc>
          <w:tcPr>
            <w:tcW w:w="99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334D42" w14:textId="77777777" w:rsidR="00C442DB" w:rsidRPr="00C442DB" w:rsidRDefault="00C442DB" w:rsidP="00C442DB">
            <w:pPr>
              <w:jc w:val="left"/>
              <w:rPr>
                <w:rFonts w:ascii="Calibri" w:hAnsi="Calibri"/>
                <w:sz w:val="16"/>
                <w:szCs w:val="16"/>
              </w:rPr>
            </w:pPr>
            <w:r w:rsidRPr="00C442DB">
              <w:rPr>
                <w:rFonts w:ascii="Calibri" w:hAnsi="Calibri"/>
                <w:sz w:val="16"/>
                <w:szCs w:val="16"/>
              </w:rPr>
              <w:t>MDPF-O-H MKF PRO-FIN</w:t>
            </w:r>
          </w:p>
        </w:tc>
        <w:tc>
          <w:tcPr>
            <w:tcW w:w="11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278955" w14:textId="77777777" w:rsidR="00C442DB" w:rsidRPr="00C442DB" w:rsidRDefault="00C442DB" w:rsidP="00C442DB">
            <w:pPr>
              <w:jc w:val="right"/>
              <w:rPr>
                <w:rFonts w:ascii="Calibri" w:hAnsi="Calibri"/>
                <w:sz w:val="16"/>
                <w:szCs w:val="16"/>
              </w:rPr>
            </w:pPr>
            <w:r w:rsidRPr="00C442DB">
              <w:rPr>
                <w:rFonts w:ascii="Calibri" w:hAnsi="Calibri"/>
                <w:sz w:val="16"/>
                <w:szCs w:val="16"/>
              </w:rPr>
              <w:t>1.650.000,00</w:t>
            </w:r>
          </w:p>
        </w:tc>
        <w:tc>
          <w:tcPr>
            <w:tcW w:w="8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4CC7019"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71F55056"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14:paraId="6B17EA9A"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0F8FFD6D"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F9EC3B"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0BE85EAA" w14:textId="77777777" w:rsidR="00C442DB" w:rsidRPr="00C442DB" w:rsidRDefault="00C442DB" w:rsidP="00C442DB">
            <w:pPr>
              <w:jc w:val="right"/>
              <w:rPr>
                <w:rFonts w:ascii="Calibri" w:hAnsi="Calibri"/>
                <w:sz w:val="16"/>
                <w:szCs w:val="16"/>
              </w:rPr>
            </w:pPr>
            <w:r w:rsidRPr="00C442DB">
              <w:rPr>
                <w:rFonts w:ascii="Calibri" w:hAnsi="Calibri"/>
                <w:sz w:val="16"/>
                <w:szCs w:val="16"/>
              </w:rPr>
              <w:t>27.12.2026</w:t>
            </w:r>
          </w:p>
        </w:tc>
        <w:tc>
          <w:tcPr>
            <w:tcW w:w="813" w:type="dxa"/>
            <w:tcBorders>
              <w:top w:val="nil"/>
              <w:left w:val="nil"/>
              <w:bottom w:val="single" w:sz="4" w:space="0" w:color="auto"/>
              <w:right w:val="single" w:sz="4" w:space="0" w:color="auto"/>
            </w:tcBorders>
            <w:shd w:val="clear" w:color="auto" w:fill="auto"/>
            <w:noWrap/>
            <w:vAlign w:val="bottom"/>
            <w:hideMark/>
          </w:tcPr>
          <w:p w14:paraId="6C846151"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27.01.2024</w:t>
            </w:r>
          </w:p>
        </w:tc>
      </w:tr>
      <w:tr w:rsidR="00C442DB" w:rsidRPr="00C442DB" w14:paraId="666FC7D8"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A6F693" w14:textId="77777777" w:rsidR="00C442DB" w:rsidRPr="00C442DB" w:rsidRDefault="00C442DB" w:rsidP="00C442DB">
            <w:pPr>
              <w:jc w:val="center"/>
              <w:rPr>
                <w:rFonts w:ascii="Calibri" w:hAnsi="Calibri"/>
                <w:sz w:val="16"/>
                <w:szCs w:val="16"/>
              </w:rPr>
            </w:pPr>
            <w:r w:rsidRPr="00C442DB">
              <w:rPr>
                <w:rFonts w:ascii="Calibri" w:hAnsi="Calibri"/>
                <w:sz w:val="16"/>
                <w:szCs w:val="16"/>
              </w:rPr>
              <w:t>22</w:t>
            </w:r>
          </w:p>
        </w:tc>
        <w:tc>
          <w:tcPr>
            <w:tcW w:w="999"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4E61A3" w14:textId="77777777" w:rsidR="00C442DB" w:rsidRPr="00C442DB" w:rsidRDefault="00C442DB" w:rsidP="00C442DB">
            <w:pPr>
              <w:jc w:val="left"/>
              <w:rPr>
                <w:rFonts w:ascii="Calibri" w:hAnsi="Calibri"/>
                <w:sz w:val="16"/>
                <w:szCs w:val="16"/>
              </w:rPr>
            </w:pPr>
            <w:r w:rsidRPr="00C442DB">
              <w:rPr>
                <w:rFonts w:ascii="Calibri" w:hAnsi="Calibri"/>
                <w:sz w:val="16"/>
                <w:szCs w:val="16"/>
              </w:rPr>
              <w:t>CRRF-О-G          MKD Credis</w:t>
            </w:r>
          </w:p>
        </w:tc>
        <w:tc>
          <w:tcPr>
            <w:tcW w:w="11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60463FC"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017C961D" w14:textId="77777777" w:rsidR="00C442DB" w:rsidRPr="00C442DB" w:rsidRDefault="00C442DB" w:rsidP="00C442DB">
            <w:pPr>
              <w:jc w:val="right"/>
              <w:rPr>
                <w:rFonts w:ascii="Calibri" w:hAnsi="Calibri"/>
                <w:sz w:val="16"/>
                <w:szCs w:val="16"/>
              </w:rPr>
            </w:pPr>
            <w:r w:rsidRPr="00C442DB">
              <w:rPr>
                <w:rFonts w:ascii="Calibri" w:hAnsi="Calibri"/>
                <w:sz w:val="16"/>
                <w:szCs w:val="16"/>
              </w:rPr>
              <w:t>365</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239788AA" w14:textId="77777777" w:rsidR="00C442DB" w:rsidRPr="00C442DB" w:rsidRDefault="00C442DB" w:rsidP="00C442DB">
            <w:pPr>
              <w:jc w:val="right"/>
              <w:rPr>
                <w:rFonts w:ascii="Calibri" w:hAnsi="Calibri"/>
                <w:sz w:val="16"/>
                <w:szCs w:val="16"/>
              </w:rPr>
            </w:pPr>
            <w:r w:rsidRPr="00C442DB">
              <w:rPr>
                <w:rFonts w:ascii="Calibri" w:hAnsi="Calibri"/>
                <w:sz w:val="16"/>
                <w:szCs w:val="16"/>
              </w:rPr>
              <w:t>365.000,00</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14:paraId="0762A918"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6EFDB9B2" w14:textId="77777777" w:rsidR="00C442DB" w:rsidRPr="00C442DB" w:rsidRDefault="00C442DB" w:rsidP="00C442DB">
            <w:pPr>
              <w:jc w:val="right"/>
              <w:rPr>
                <w:rFonts w:ascii="Calibri" w:hAnsi="Calibri"/>
                <w:sz w:val="16"/>
                <w:szCs w:val="16"/>
              </w:rPr>
            </w:pPr>
            <w:r w:rsidRPr="00C442DB">
              <w:rPr>
                <w:rFonts w:ascii="Calibri" w:hAnsi="Calibri"/>
                <w:sz w:val="16"/>
                <w:szCs w:val="16"/>
              </w:rPr>
              <w:t>121.666,68</w:t>
            </w:r>
          </w:p>
        </w:tc>
        <w:tc>
          <w:tcPr>
            <w:tcW w:w="8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16C9DE29"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5C89C2" w14:textId="77777777" w:rsidR="00C442DB" w:rsidRPr="00C442DB" w:rsidRDefault="00C442DB" w:rsidP="00C442DB">
            <w:pPr>
              <w:jc w:val="left"/>
              <w:rPr>
                <w:rFonts w:ascii="Calibri" w:hAnsi="Calibri"/>
                <w:sz w:val="16"/>
                <w:szCs w:val="16"/>
              </w:rPr>
            </w:pPr>
            <w:r w:rsidRPr="00C442DB">
              <w:rPr>
                <w:rFonts w:ascii="Calibri" w:hAnsi="Calibri"/>
                <w:sz w:val="16"/>
                <w:szCs w:val="16"/>
              </w:rPr>
              <w:t>02.11.2024.</w:t>
            </w:r>
          </w:p>
        </w:tc>
        <w:tc>
          <w:tcPr>
            <w:tcW w:w="813" w:type="dxa"/>
            <w:tcBorders>
              <w:top w:val="nil"/>
              <w:left w:val="nil"/>
              <w:bottom w:val="single" w:sz="4" w:space="0" w:color="auto"/>
              <w:right w:val="single" w:sz="4" w:space="0" w:color="auto"/>
            </w:tcBorders>
            <w:shd w:val="clear" w:color="auto" w:fill="auto"/>
            <w:noWrap/>
            <w:vAlign w:val="bottom"/>
            <w:hideMark/>
          </w:tcPr>
          <w:p w14:paraId="4E1DC087"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02.11.2023</w:t>
            </w:r>
          </w:p>
        </w:tc>
      </w:tr>
      <w:tr w:rsidR="00C442DB" w:rsidRPr="00C442DB" w14:paraId="0FAE78D0"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9528A46" w14:textId="77777777" w:rsidR="00C442DB" w:rsidRPr="00C442DB" w:rsidRDefault="00C442DB" w:rsidP="00C442DB">
            <w:pPr>
              <w:jc w:val="center"/>
              <w:rPr>
                <w:rFonts w:ascii="Calibri" w:hAnsi="Calibri"/>
                <w:sz w:val="16"/>
                <w:szCs w:val="16"/>
              </w:rPr>
            </w:pPr>
            <w:r w:rsidRPr="00C442DB">
              <w:rPr>
                <w:rFonts w:ascii="Calibri" w:hAnsi="Calibri"/>
                <w:sz w:val="16"/>
                <w:szCs w:val="16"/>
              </w:rPr>
              <w:t>23</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1E8F9359" w14:textId="77777777" w:rsidR="00C442DB" w:rsidRPr="00C442DB" w:rsidRDefault="00C442DB" w:rsidP="00C442DB">
            <w:pPr>
              <w:jc w:val="left"/>
              <w:rPr>
                <w:rFonts w:ascii="Calibri" w:hAnsi="Calibri"/>
                <w:sz w:val="16"/>
                <w:szCs w:val="16"/>
              </w:rPr>
            </w:pPr>
            <w:r w:rsidRPr="00C442DB">
              <w:rPr>
                <w:rFonts w:ascii="Calibri" w:hAnsi="Calibri"/>
                <w:sz w:val="16"/>
                <w:szCs w:val="16"/>
              </w:rPr>
              <w:t>CRRF-O-J MKD Credis</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051470BD" w14:textId="77777777" w:rsidR="00C442DB" w:rsidRPr="00C442DB" w:rsidRDefault="00C442DB" w:rsidP="00C442DB">
            <w:pPr>
              <w:jc w:val="right"/>
              <w:rPr>
                <w:rFonts w:ascii="Calibri" w:hAnsi="Calibri"/>
                <w:sz w:val="16"/>
                <w:szCs w:val="16"/>
              </w:rPr>
            </w:pPr>
            <w:r w:rsidRPr="00C442DB">
              <w:rPr>
                <w:rFonts w:ascii="Calibri" w:hAnsi="Calibri"/>
                <w:sz w:val="16"/>
                <w:szCs w:val="16"/>
              </w:rPr>
              <w:t>1.600.000,00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C35A6FF"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31548883"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w:t>
            </w:r>
          </w:p>
        </w:tc>
        <w:tc>
          <w:tcPr>
            <w:tcW w:w="855" w:type="dxa"/>
            <w:tcBorders>
              <w:top w:val="nil"/>
              <w:left w:val="nil"/>
              <w:bottom w:val="single" w:sz="4" w:space="0" w:color="auto"/>
              <w:right w:val="single" w:sz="4" w:space="0" w:color="auto"/>
            </w:tcBorders>
            <w:shd w:val="clear" w:color="auto" w:fill="auto"/>
            <w:noWrap/>
            <w:vAlign w:val="bottom"/>
            <w:hideMark/>
          </w:tcPr>
          <w:p w14:paraId="1305D772"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6226D953"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76C25BD"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AF07C4E" w14:textId="77777777" w:rsidR="00C442DB" w:rsidRPr="00C442DB" w:rsidRDefault="00C442DB" w:rsidP="00C442DB">
            <w:pPr>
              <w:jc w:val="right"/>
              <w:rPr>
                <w:rFonts w:ascii="Calibri" w:hAnsi="Calibri"/>
                <w:sz w:val="16"/>
                <w:szCs w:val="16"/>
              </w:rPr>
            </w:pPr>
            <w:r w:rsidRPr="00C442DB">
              <w:rPr>
                <w:rFonts w:ascii="Calibri" w:hAnsi="Calibri"/>
                <w:sz w:val="16"/>
                <w:szCs w:val="16"/>
              </w:rPr>
              <w:t>05.09.2026</w:t>
            </w:r>
          </w:p>
        </w:tc>
        <w:tc>
          <w:tcPr>
            <w:tcW w:w="813" w:type="dxa"/>
            <w:tcBorders>
              <w:top w:val="nil"/>
              <w:left w:val="nil"/>
              <w:bottom w:val="single" w:sz="4" w:space="0" w:color="auto"/>
              <w:right w:val="single" w:sz="4" w:space="0" w:color="auto"/>
            </w:tcBorders>
            <w:shd w:val="clear" w:color="auto" w:fill="auto"/>
            <w:noWrap/>
            <w:vAlign w:val="bottom"/>
            <w:hideMark/>
          </w:tcPr>
          <w:p w14:paraId="56DDA276"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05.03.2024</w:t>
            </w:r>
          </w:p>
        </w:tc>
      </w:tr>
      <w:tr w:rsidR="00C442DB" w:rsidRPr="00C442DB" w14:paraId="1203AB1C"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5D8547" w14:textId="77777777" w:rsidR="00C442DB" w:rsidRPr="00C442DB" w:rsidRDefault="00C442DB" w:rsidP="00C442DB">
            <w:pPr>
              <w:jc w:val="center"/>
              <w:rPr>
                <w:rFonts w:ascii="Calibri" w:hAnsi="Calibri"/>
                <w:sz w:val="16"/>
                <w:szCs w:val="16"/>
              </w:rPr>
            </w:pPr>
            <w:r w:rsidRPr="00C442DB">
              <w:rPr>
                <w:rFonts w:ascii="Calibri" w:hAnsi="Calibri"/>
                <w:sz w:val="16"/>
                <w:szCs w:val="16"/>
              </w:rPr>
              <w:t>24</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25CEB3BC"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CRRF-O-I MKD Credis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05D1FCF5"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3E1E552" w14:textId="77777777" w:rsidR="00C442DB" w:rsidRPr="00C442DB" w:rsidRDefault="00C442DB" w:rsidP="00C442DB">
            <w:pPr>
              <w:jc w:val="right"/>
              <w:rPr>
                <w:rFonts w:ascii="Calibri" w:hAnsi="Calibri"/>
                <w:sz w:val="16"/>
                <w:szCs w:val="16"/>
              </w:rPr>
            </w:pPr>
            <w:r w:rsidRPr="00C442DB">
              <w:rPr>
                <w:rFonts w:ascii="Calibri" w:hAnsi="Calibri"/>
                <w:sz w:val="16"/>
                <w:szCs w:val="16"/>
              </w:rPr>
              <w:t>215</w:t>
            </w:r>
          </w:p>
        </w:tc>
        <w:tc>
          <w:tcPr>
            <w:tcW w:w="996" w:type="dxa"/>
            <w:tcBorders>
              <w:top w:val="nil"/>
              <w:left w:val="nil"/>
              <w:bottom w:val="single" w:sz="4" w:space="0" w:color="auto"/>
              <w:right w:val="single" w:sz="4" w:space="0" w:color="auto"/>
            </w:tcBorders>
            <w:shd w:val="clear" w:color="auto" w:fill="auto"/>
            <w:noWrap/>
            <w:vAlign w:val="bottom"/>
            <w:hideMark/>
          </w:tcPr>
          <w:p w14:paraId="6C275BF8" w14:textId="77777777" w:rsidR="00C442DB" w:rsidRPr="00C442DB" w:rsidRDefault="00C442DB" w:rsidP="00C442DB">
            <w:pPr>
              <w:jc w:val="right"/>
              <w:rPr>
                <w:rFonts w:ascii="Calibri" w:hAnsi="Calibri"/>
                <w:sz w:val="16"/>
                <w:szCs w:val="16"/>
              </w:rPr>
            </w:pPr>
            <w:r w:rsidRPr="00C442DB">
              <w:rPr>
                <w:rFonts w:ascii="Calibri" w:hAnsi="Calibri"/>
                <w:sz w:val="16"/>
                <w:szCs w:val="16"/>
              </w:rPr>
              <w:t>215.000,00</w:t>
            </w:r>
          </w:p>
        </w:tc>
        <w:tc>
          <w:tcPr>
            <w:tcW w:w="855" w:type="dxa"/>
            <w:tcBorders>
              <w:top w:val="nil"/>
              <w:left w:val="nil"/>
              <w:bottom w:val="single" w:sz="4" w:space="0" w:color="auto"/>
              <w:right w:val="single" w:sz="4" w:space="0" w:color="auto"/>
            </w:tcBorders>
            <w:shd w:val="clear" w:color="auto" w:fill="auto"/>
            <w:noWrap/>
            <w:vAlign w:val="bottom"/>
            <w:hideMark/>
          </w:tcPr>
          <w:p w14:paraId="3D00297D"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4A446592" w14:textId="77777777" w:rsidR="00C442DB" w:rsidRPr="00C442DB" w:rsidRDefault="00C442DB" w:rsidP="00C442DB">
            <w:pPr>
              <w:jc w:val="right"/>
              <w:rPr>
                <w:rFonts w:ascii="Calibri" w:hAnsi="Calibri"/>
                <w:sz w:val="16"/>
                <w:szCs w:val="16"/>
              </w:rPr>
            </w:pPr>
            <w:r w:rsidRPr="00C442DB">
              <w:rPr>
                <w:rFonts w:ascii="Calibri" w:hAnsi="Calibri"/>
                <w:sz w:val="16"/>
                <w:szCs w:val="16"/>
              </w:rPr>
              <w:t>179.166,67</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3CF95E9E"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45AF9F4D" w14:textId="77777777" w:rsidR="00C442DB" w:rsidRPr="00C442DB" w:rsidRDefault="00C442DB" w:rsidP="00C442DB">
            <w:pPr>
              <w:jc w:val="right"/>
              <w:rPr>
                <w:rFonts w:ascii="Calibri" w:hAnsi="Calibri"/>
                <w:sz w:val="16"/>
                <w:szCs w:val="16"/>
              </w:rPr>
            </w:pPr>
            <w:r w:rsidRPr="00C442DB">
              <w:rPr>
                <w:rFonts w:ascii="Calibri" w:hAnsi="Calibri"/>
                <w:sz w:val="16"/>
                <w:szCs w:val="16"/>
              </w:rPr>
              <w:t>30.12.2025</w:t>
            </w:r>
          </w:p>
        </w:tc>
        <w:tc>
          <w:tcPr>
            <w:tcW w:w="813" w:type="dxa"/>
            <w:tcBorders>
              <w:top w:val="nil"/>
              <w:left w:val="nil"/>
              <w:bottom w:val="single" w:sz="4" w:space="0" w:color="auto"/>
              <w:right w:val="single" w:sz="4" w:space="0" w:color="auto"/>
            </w:tcBorders>
            <w:shd w:val="clear" w:color="auto" w:fill="auto"/>
            <w:noWrap/>
            <w:vAlign w:val="bottom"/>
            <w:hideMark/>
          </w:tcPr>
          <w:p w14:paraId="7D7F26E2"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31.12.2023</w:t>
            </w:r>
          </w:p>
        </w:tc>
      </w:tr>
      <w:tr w:rsidR="00C442DB" w:rsidRPr="00C442DB" w14:paraId="60A0C86D"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1C80027" w14:textId="77777777" w:rsidR="00C442DB" w:rsidRPr="00C442DB" w:rsidRDefault="00C442DB" w:rsidP="00C442DB">
            <w:pPr>
              <w:jc w:val="center"/>
              <w:rPr>
                <w:rFonts w:ascii="Calibri" w:hAnsi="Calibri"/>
                <w:sz w:val="16"/>
                <w:szCs w:val="16"/>
              </w:rPr>
            </w:pPr>
            <w:r w:rsidRPr="00C442DB">
              <w:rPr>
                <w:rFonts w:ascii="Calibri" w:hAnsi="Calibri"/>
                <w:sz w:val="16"/>
                <w:szCs w:val="16"/>
              </w:rPr>
              <w:t>25</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60BAADBC" w14:textId="77777777" w:rsidR="00C442DB" w:rsidRPr="00C442DB" w:rsidRDefault="00C442DB" w:rsidP="00C442DB">
            <w:pPr>
              <w:jc w:val="left"/>
              <w:rPr>
                <w:rFonts w:ascii="Calibri" w:hAnsi="Calibri"/>
                <w:sz w:val="16"/>
                <w:szCs w:val="16"/>
              </w:rPr>
            </w:pPr>
            <w:r w:rsidRPr="00C442DB">
              <w:rPr>
                <w:rFonts w:ascii="Calibri" w:hAnsi="Calibri"/>
                <w:sz w:val="16"/>
                <w:szCs w:val="16"/>
              </w:rPr>
              <w:t>PIBB-PO1</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74A7EFC4" w14:textId="77777777" w:rsidR="00C442DB" w:rsidRPr="00C442DB" w:rsidRDefault="00C442DB" w:rsidP="00C442DB">
            <w:pPr>
              <w:jc w:val="right"/>
              <w:rPr>
                <w:rFonts w:ascii="Calibri" w:hAnsi="Calibri"/>
                <w:sz w:val="16"/>
                <w:szCs w:val="16"/>
              </w:rPr>
            </w:pPr>
            <w:r w:rsidRPr="00C442DB">
              <w:rPr>
                <w:rFonts w:ascii="Calibri" w:hAnsi="Calibri"/>
                <w:sz w:val="16"/>
                <w:szCs w:val="16"/>
              </w:rPr>
              <w:t>7.000.000,00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9A636AD" w14:textId="77777777" w:rsidR="00C442DB" w:rsidRPr="00C442DB" w:rsidRDefault="00C442DB" w:rsidP="00C442DB">
            <w:pPr>
              <w:jc w:val="right"/>
              <w:rPr>
                <w:rFonts w:ascii="Calibri" w:hAnsi="Calibri"/>
                <w:sz w:val="16"/>
                <w:szCs w:val="16"/>
              </w:rPr>
            </w:pPr>
            <w:r w:rsidRPr="00C442DB">
              <w:rPr>
                <w:rFonts w:ascii="Calibri" w:hAnsi="Calibri"/>
                <w:sz w:val="16"/>
                <w:szCs w:val="16"/>
              </w:rPr>
              <w:t>70.000</w:t>
            </w:r>
          </w:p>
        </w:tc>
        <w:tc>
          <w:tcPr>
            <w:tcW w:w="996" w:type="dxa"/>
            <w:tcBorders>
              <w:top w:val="nil"/>
              <w:left w:val="nil"/>
              <w:bottom w:val="single" w:sz="4" w:space="0" w:color="auto"/>
              <w:right w:val="single" w:sz="4" w:space="0" w:color="auto"/>
            </w:tcBorders>
            <w:shd w:val="clear" w:color="auto" w:fill="auto"/>
            <w:noWrap/>
            <w:vAlign w:val="bottom"/>
            <w:hideMark/>
          </w:tcPr>
          <w:p w14:paraId="288C6A15"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w:t>
            </w:r>
          </w:p>
        </w:tc>
        <w:tc>
          <w:tcPr>
            <w:tcW w:w="855" w:type="dxa"/>
            <w:tcBorders>
              <w:top w:val="nil"/>
              <w:left w:val="nil"/>
              <w:bottom w:val="single" w:sz="4" w:space="0" w:color="auto"/>
              <w:right w:val="single" w:sz="4" w:space="0" w:color="auto"/>
            </w:tcBorders>
            <w:shd w:val="clear" w:color="auto" w:fill="auto"/>
            <w:noWrap/>
            <w:vAlign w:val="bottom"/>
            <w:hideMark/>
          </w:tcPr>
          <w:p w14:paraId="2DCE7C4D" w14:textId="77777777" w:rsidR="00C442DB" w:rsidRPr="00C442DB" w:rsidRDefault="00C442DB" w:rsidP="00C442DB">
            <w:pPr>
              <w:jc w:val="right"/>
              <w:rPr>
                <w:rFonts w:ascii="Calibri" w:hAnsi="Calibri"/>
                <w:sz w:val="16"/>
                <w:szCs w:val="16"/>
              </w:rPr>
            </w:pPr>
            <w:r w:rsidRPr="00C442DB">
              <w:rPr>
                <w:rFonts w:ascii="Calibri" w:hAnsi="Calibri"/>
                <w:sz w:val="16"/>
                <w:szCs w:val="16"/>
              </w:rPr>
              <w:t>5,15%</w:t>
            </w:r>
          </w:p>
        </w:tc>
        <w:tc>
          <w:tcPr>
            <w:tcW w:w="995" w:type="dxa"/>
            <w:tcBorders>
              <w:top w:val="nil"/>
              <w:left w:val="nil"/>
              <w:bottom w:val="single" w:sz="4" w:space="0" w:color="auto"/>
              <w:right w:val="single" w:sz="4" w:space="0" w:color="auto"/>
            </w:tcBorders>
            <w:shd w:val="clear" w:color="auto" w:fill="auto"/>
            <w:noWrap/>
            <w:vAlign w:val="bottom"/>
            <w:hideMark/>
          </w:tcPr>
          <w:p w14:paraId="65835330"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7A1B41A2"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2B1E4F5"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c>
          <w:tcPr>
            <w:tcW w:w="813" w:type="dxa"/>
            <w:tcBorders>
              <w:top w:val="nil"/>
              <w:left w:val="nil"/>
              <w:bottom w:val="single" w:sz="4" w:space="0" w:color="auto"/>
              <w:right w:val="single" w:sz="4" w:space="0" w:color="auto"/>
            </w:tcBorders>
            <w:shd w:val="clear" w:color="auto" w:fill="auto"/>
            <w:noWrap/>
            <w:vAlign w:val="bottom"/>
            <w:hideMark/>
          </w:tcPr>
          <w:p w14:paraId="7DA93D47"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 </w:t>
            </w:r>
          </w:p>
        </w:tc>
      </w:tr>
      <w:tr w:rsidR="00C442DB" w:rsidRPr="00C442DB" w14:paraId="61F5BAAD" w14:textId="77777777" w:rsidTr="003B3FA9">
        <w:trPr>
          <w:trHeight w:val="345"/>
        </w:trPr>
        <w:tc>
          <w:tcPr>
            <w:tcW w:w="54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335E347" w14:textId="77777777" w:rsidR="00C442DB" w:rsidRPr="00C442DB" w:rsidRDefault="00C442DB" w:rsidP="00C442DB">
            <w:pPr>
              <w:jc w:val="center"/>
              <w:rPr>
                <w:rFonts w:ascii="Calibri" w:hAnsi="Calibri"/>
                <w:sz w:val="16"/>
                <w:szCs w:val="16"/>
              </w:rPr>
            </w:pPr>
            <w:r w:rsidRPr="00C442DB">
              <w:rPr>
                <w:rFonts w:ascii="Calibri" w:hAnsi="Calibri"/>
                <w:sz w:val="16"/>
                <w:szCs w:val="16"/>
              </w:rPr>
              <w:t>26</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155CE0EE" w14:textId="77777777" w:rsidR="00C442DB" w:rsidRPr="00C442DB" w:rsidRDefault="00C442DB" w:rsidP="00C442DB">
            <w:pPr>
              <w:jc w:val="left"/>
              <w:rPr>
                <w:rFonts w:ascii="Calibri" w:hAnsi="Calibri"/>
                <w:sz w:val="16"/>
                <w:szCs w:val="16"/>
              </w:rPr>
            </w:pPr>
            <w:r w:rsidRPr="00C442DB">
              <w:rPr>
                <w:rFonts w:ascii="Calibri" w:hAnsi="Calibri"/>
                <w:sz w:val="16"/>
                <w:szCs w:val="16"/>
              </w:rPr>
              <w:t>TRRF-O-D  MKD Taurus B luka</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272DBE8A"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20F370D4" w14:textId="77777777" w:rsidR="00C442DB" w:rsidRPr="00C442DB" w:rsidRDefault="00C442DB" w:rsidP="00C442DB">
            <w:pPr>
              <w:jc w:val="right"/>
              <w:rPr>
                <w:rFonts w:ascii="Calibri" w:hAnsi="Calibri"/>
                <w:sz w:val="16"/>
                <w:szCs w:val="16"/>
              </w:rPr>
            </w:pPr>
            <w:r w:rsidRPr="00C442DB">
              <w:rPr>
                <w:rFonts w:ascii="Calibri" w:hAnsi="Calibri"/>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14:paraId="363C2D70"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nil"/>
              <w:left w:val="nil"/>
              <w:bottom w:val="single" w:sz="4" w:space="0" w:color="auto"/>
              <w:right w:val="single" w:sz="4" w:space="0" w:color="auto"/>
            </w:tcBorders>
            <w:shd w:val="clear" w:color="auto" w:fill="auto"/>
            <w:noWrap/>
            <w:vAlign w:val="bottom"/>
            <w:hideMark/>
          </w:tcPr>
          <w:p w14:paraId="3DA7F2E9" w14:textId="77777777" w:rsidR="00C442DB" w:rsidRPr="00C442DB" w:rsidRDefault="00C442DB" w:rsidP="00C442DB">
            <w:pPr>
              <w:jc w:val="right"/>
              <w:rPr>
                <w:rFonts w:ascii="Calibri" w:hAnsi="Calibri"/>
                <w:sz w:val="16"/>
                <w:szCs w:val="16"/>
              </w:rPr>
            </w:pPr>
            <w:r w:rsidRPr="00C442DB">
              <w:rPr>
                <w:rFonts w:ascii="Calibri" w:hAnsi="Calibri"/>
                <w:sz w:val="16"/>
                <w:szCs w:val="16"/>
              </w:rPr>
              <w:t>6,50%</w:t>
            </w:r>
          </w:p>
        </w:tc>
        <w:tc>
          <w:tcPr>
            <w:tcW w:w="995" w:type="dxa"/>
            <w:tcBorders>
              <w:top w:val="nil"/>
              <w:left w:val="nil"/>
              <w:bottom w:val="single" w:sz="4" w:space="0" w:color="auto"/>
              <w:right w:val="single" w:sz="4" w:space="0" w:color="auto"/>
            </w:tcBorders>
            <w:shd w:val="clear" w:color="auto" w:fill="auto"/>
            <w:noWrap/>
            <w:vAlign w:val="bottom"/>
            <w:hideMark/>
          </w:tcPr>
          <w:p w14:paraId="6F1EAA96" w14:textId="77777777" w:rsidR="00C442DB" w:rsidRPr="00C442DB" w:rsidRDefault="00C442DB" w:rsidP="00C442DB">
            <w:pPr>
              <w:jc w:val="right"/>
              <w:rPr>
                <w:rFonts w:ascii="Calibri" w:hAnsi="Calibri"/>
                <w:sz w:val="16"/>
                <w:szCs w:val="16"/>
              </w:rPr>
            </w:pPr>
            <w:r w:rsidRPr="00C442DB">
              <w:rPr>
                <w:rFonts w:ascii="Calibri" w:hAnsi="Calibri"/>
                <w:sz w:val="16"/>
                <w:szCs w:val="16"/>
              </w:rPr>
              <w:t>87.047,80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6832373"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6FF39611" w14:textId="77777777" w:rsidR="00C442DB" w:rsidRPr="00C442DB" w:rsidRDefault="00C442DB" w:rsidP="00C442DB">
            <w:pPr>
              <w:jc w:val="right"/>
              <w:rPr>
                <w:rFonts w:ascii="Calibri" w:hAnsi="Calibri"/>
                <w:sz w:val="16"/>
                <w:szCs w:val="16"/>
              </w:rPr>
            </w:pPr>
            <w:r w:rsidRPr="00C442DB">
              <w:rPr>
                <w:rFonts w:ascii="Calibri" w:hAnsi="Calibri"/>
                <w:sz w:val="16"/>
                <w:szCs w:val="16"/>
              </w:rPr>
              <w:t>29.09.2026</w:t>
            </w:r>
          </w:p>
        </w:tc>
        <w:tc>
          <w:tcPr>
            <w:tcW w:w="813" w:type="dxa"/>
            <w:tcBorders>
              <w:top w:val="nil"/>
              <w:left w:val="nil"/>
              <w:bottom w:val="single" w:sz="4" w:space="0" w:color="auto"/>
              <w:right w:val="single" w:sz="4" w:space="0" w:color="auto"/>
            </w:tcBorders>
            <w:shd w:val="clear" w:color="auto" w:fill="auto"/>
            <w:noWrap/>
            <w:vAlign w:val="bottom"/>
            <w:hideMark/>
          </w:tcPr>
          <w:p w14:paraId="6ED0F938"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29.09.2023</w:t>
            </w:r>
          </w:p>
        </w:tc>
      </w:tr>
      <w:tr w:rsidR="00C442DB" w:rsidRPr="00C442DB" w14:paraId="0FEBA5C9" w14:textId="77777777" w:rsidTr="003B3FA9">
        <w:trPr>
          <w:trHeight w:val="315"/>
        </w:trPr>
        <w:tc>
          <w:tcPr>
            <w:tcW w:w="5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756E4" w14:textId="77777777" w:rsidR="00C442DB" w:rsidRPr="00C442DB" w:rsidRDefault="00C442DB" w:rsidP="00C442DB">
            <w:pPr>
              <w:jc w:val="center"/>
              <w:rPr>
                <w:rFonts w:ascii="Calibri" w:hAnsi="Calibri"/>
                <w:sz w:val="16"/>
                <w:szCs w:val="16"/>
              </w:rPr>
            </w:pPr>
            <w:r w:rsidRPr="00C442DB">
              <w:rPr>
                <w:rFonts w:ascii="Calibri" w:hAnsi="Calibri"/>
                <w:sz w:val="16"/>
                <w:szCs w:val="16"/>
              </w:rPr>
              <w:t>27</w:t>
            </w:r>
          </w:p>
        </w:tc>
        <w:tc>
          <w:tcPr>
            <w:tcW w:w="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D2CB6" w14:textId="77777777" w:rsidR="00C442DB" w:rsidRPr="00C442DB" w:rsidRDefault="00C442DB" w:rsidP="00C442DB">
            <w:pPr>
              <w:jc w:val="left"/>
              <w:rPr>
                <w:rFonts w:ascii="Calibri" w:hAnsi="Calibri"/>
                <w:sz w:val="16"/>
                <w:szCs w:val="16"/>
              </w:rPr>
            </w:pPr>
            <w:r w:rsidRPr="00C442DB">
              <w:rPr>
                <w:rFonts w:ascii="Calibri" w:hAnsi="Calibri"/>
                <w:sz w:val="16"/>
                <w:szCs w:val="16"/>
              </w:rPr>
              <w:t>TRRF-PO3 MKD Taurus</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931AF"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3F22B" w14:textId="77777777" w:rsidR="00C442DB" w:rsidRPr="00C442DB" w:rsidRDefault="00C442DB" w:rsidP="00C442DB">
            <w:pPr>
              <w:jc w:val="right"/>
              <w:rPr>
                <w:rFonts w:ascii="Calibri" w:hAnsi="Calibri"/>
                <w:sz w:val="16"/>
                <w:szCs w:val="16"/>
              </w:rPr>
            </w:pPr>
            <w:r w:rsidRPr="00C442DB">
              <w:rPr>
                <w:rFonts w:ascii="Calibri" w:hAnsi="Calibri"/>
                <w:sz w:val="16"/>
                <w:szCs w:val="16"/>
              </w:rPr>
              <w:t>100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E5589"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40A43" w14:textId="77777777" w:rsidR="00C442DB" w:rsidRPr="00C442DB" w:rsidRDefault="00C442DB" w:rsidP="00C442DB">
            <w:pPr>
              <w:jc w:val="right"/>
              <w:rPr>
                <w:rFonts w:ascii="Calibri" w:hAnsi="Calibri"/>
                <w:sz w:val="16"/>
                <w:szCs w:val="16"/>
              </w:rPr>
            </w:pPr>
            <w:r w:rsidRPr="00C442DB">
              <w:rPr>
                <w:rFonts w:ascii="Calibri" w:hAnsi="Calibri"/>
                <w:sz w:val="16"/>
                <w:szCs w:val="16"/>
              </w:rPr>
              <w:t>6,70%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A8D99"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6F795"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4D02B"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2CE93"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 </w:t>
            </w:r>
          </w:p>
        </w:tc>
      </w:tr>
      <w:tr w:rsidR="00C442DB" w:rsidRPr="00C442DB" w14:paraId="1A3A1C13" w14:textId="77777777" w:rsidTr="009A46DA">
        <w:trPr>
          <w:trHeight w:val="315"/>
        </w:trPr>
        <w:tc>
          <w:tcPr>
            <w:tcW w:w="3555" w:type="dxa"/>
            <w:gridSpan w:val="8"/>
            <w:tcBorders>
              <w:top w:val="single" w:sz="4" w:space="0" w:color="auto"/>
              <w:left w:val="single" w:sz="4" w:space="0" w:color="auto"/>
              <w:bottom w:val="single" w:sz="4" w:space="0" w:color="auto"/>
              <w:right w:val="single" w:sz="4" w:space="0" w:color="000000"/>
            </w:tcBorders>
            <w:shd w:val="clear" w:color="000000" w:fill="C5D9F1"/>
            <w:vAlign w:val="center"/>
            <w:hideMark/>
          </w:tcPr>
          <w:p w14:paraId="5E43D554"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УКУПНО ХОВ ФИНАНСИЈСКИХ ИНСИТИТУЦИЈА (11)</w:t>
            </w:r>
          </w:p>
        </w:tc>
        <w:tc>
          <w:tcPr>
            <w:tcW w:w="996" w:type="dxa"/>
            <w:tcBorders>
              <w:top w:val="nil"/>
              <w:left w:val="nil"/>
              <w:bottom w:val="single" w:sz="4" w:space="0" w:color="auto"/>
              <w:right w:val="single" w:sz="4" w:space="0" w:color="auto"/>
            </w:tcBorders>
            <w:shd w:val="clear" w:color="000000" w:fill="C5D9F1"/>
            <w:noWrap/>
            <w:vAlign w:val="center"/>
            <w:hideMark/>
          </w:tcPr>
          <w:p w14:paraId="6B5BD207" w14:textId="77777777" w:rsidR="00C442DB" w:rsidRPr="00C442DB" w:rsidRDefault="00C442DB" w:rsidP="00AF0599">
            <w:pPr>
              <w:ind w:right="-108"/>
              <w:jc w:val="right"/>
              <w:rPr>
                <w:rFonts w:ascii="Calibri" w:hAnsi="Calibri"/>
                <w:b/>
                <w:bCs/>
                <w:sz w:val="16"/>
                <w:szCs w:val="16"/>
              </w:rPr>
            </w:pPr>
            <w:r w:rsidRPr="00C442DB">
              <w:rPr>
                <w:rFonts w:ascii="Calibri" w:hAnsi="Calibri"/>
                <w:b/>
                <w:bCs/>
                <w:sz w:val="16"/>
                <w:szCs w:val="16"/>
              </w:rPr>
              <w:t>2.156.000,00</w:t>
            </w:r>
          </w:p>
        </w:tc>
        <w:tc>
          <w:tcPr>
            <w:tcW w:w="855" w:type="dxa"/>
            <w:tcBorders>
              <w:top w:val="nil"/>
              <w:left w:val="nil"/>
              <w:bottom w:val="single" w:sz="4" w:space="0" w:color="auto"/>
              <w:right w:val="single" w:sz="4" w:space="0" w:color="auto"/>
            </w:tcBorders>
            <w:shd w:val="clear" w:color="000000" w:fill="C5D9F1"/>
            <w:noWrap/>
            <w:vAlign w:val="center"/>
            <w:hideMark/>
          </w:tcPr>
          <w:p w14:paraId="3C954091"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3681" w:type="dxa"/>
            <w:gridSpan w:val="6"/>
            <w:tcBorders>
              <w:top w:val="nil"/>
              <w:left w:val="nil"/>
              <w:bottom w:val="single" w:sz="4" w:space="0" w:color="auto"/>
              <w:right w:val="single" w:sz="4" w:space="0" w:color="auto"/>
            </w:tcBorders>
            <w:shd w:val="clear" w:color="000000" w:fill="C5D9F1"/>
            <w:noWrap/>
            <w:vAlign w:val="center"/>
            <w:hideMark/>
          </w:tcPr>
          <w:p w14:paraId="44DAD56A" w14:textId="77777777" w:rsidR="00C442DB" w:rsidRPr="00C442DB" w:rsidRDefault="00C442DB" w:rsidP="00C442DB">
            <w:pPr>
              <w:ind w:right="-108"/>
              <w:jc w:val="right"/>
              <w:rPr>
                <w:rFonts w:ascii="Calibri" w:hAnsi="Calibri"/>
                <w:b/>
                <w:bCs/>
                <w:sz w:val="16"/>
                <w:szCs w:val="16"/>
              </w:rPr>
            </w:pPr>
            <w:r w:rsidRPr="00C442DB">
              <w:rPr>
                <w:rFonts w:ascii="Calibri" w:hAnsi="Calibri"/>
                <w:b/>
                <w:bCs/>
                <w:sz w:val="16"/>
                <w:szCs w:val="16"/>
              </w:rPr>
              <w:t>1.770.202,27</w:t>
            </w:r>
          </w:p>
        </w:tc>
      </w:tr>
      <w:tr w:rsidR="00C442DB" w:rsidRPr="00C442DB" w14:paraId="2EB0C606"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53D334" w14:textId="28BE5D07" w:rsidR="00C442DB" w:rsidRPr="00C442DB" w:rsidRDefault="00546DB4" w:rsidP="00C442DB">
            <w:pPr>
              <w:jc w:val="center"/>
              <w:rPr>
                <w:rFonts w:ascii="Calibri" w:hAnsi="Calibri"/>
                <w:sz w:val="16"/>
                <w:szCs w:val="16"/>
              </w:rPr>
            </w:pPr>
            <w:r>
              <w:rPr>
                <w:rFonts w:ascii="Calibri" w:hAnsi="Calibri"/>
                <w:sz w:val="16"/>
                <w:szCs w:val="16"/>
              </w:rPr>
              <w:t>28</w:t>
            </w:r>
          </w:p>
        </w:tc>
        <w:tc>
          <w:tcPr>
            <w:tcW w:w="1011" w:type="dxa"/>
            <w:gridSpan w:val="3"/>
            <w:tcBorders>
              <w:top w:val="nil"/>
              <w:left w:val="nil"/>
              <w:bottom w:val="single" w:sz="4" w:space="0" w:color="auto"/>
              <w:right w:val="single" w:sz="4" w:space="0" w:color="auto"/>
            </w:tcBorders>
            <w:shd w:val="clear" w:color="auto" w:fill="auto"/>
            <w:noWrap/>
            <w:vAlign w:val="bottom"/>
            <w:hideMark/>
          </w:tcPr>
          <w:p w14:paraId="24DA449D" w14:textId="77777777" w:rsidR="00C442DB" w:rsidRPr="00C442DB" w:rsidRDefault="00C442DB" w:rsidP="00C442DB">
            <w:pPr>
              <w:jc w:val="left"/>
              <w:rPr>
                <w:rFonts w:ascii="Calibri" w:hAnsi="Calibri"/>
                <w:sz w:val="16"/>
                <w:szCs w:val="16"/>
              </w:rPr>
            </w:pPr>
            <w:r w:rsidRPr="00C442DB">
              <w:rPr>
                <w:rFonts w:ascii="Calibri" w:hAnsi="Calibri"/>
                <w:sz w:val="16"/>
                <w:szCs w:val="16"/>
              </w:rPr>
              <w:t>VDVS-O-A Vodovod Srbac</w:t>
            </w:r>
          </w:p>
        </w:tc>
        <w:tc>
          <w:tcPr>
            <w:tcW w:w="1125" w:type="dxa"/>
            <w:gridSpan w:val="2"/>
            <w:tcBorders>
              <w:top w:val="nil"/>
              <w:left w:val="nil"/>
              <w:bottom w:val="single" w:sz="4" w:space="0" w:color="auto"/>
              <w:right w:val="single" w:sz="4" w:space="0" w:color="auto"/>
            </w:tcBorders>
            <w:shd w:val="clear" w:color="auto" w:fill="auto"/>
            <w:noWrap/>
            <w:vAlign w:val="bottom"/>
            <w:hideMark/>
          </w:tcPr>
          <w:p w14:paraId="648702E4"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1.250.000,00</w:t>
            </w:r>
          </w:p>
        </w:tc>
        <w:tc>
          <w:tcPr>
            <w:tcW w:w="874" w:type="dxa"/>
            <w:tcBorders>
              <w:top w:val="nil"/>
              <w:left w:val="nil"/>
              <w:bottom w:val="single" w:sz="4" w:space="0" w:color="auto"/>
              <w:right w:val="single" w:sz="4" w:space="0" w:color="auto"/>
            </w:tcBorders>
            <w:shd w:val="clear" w:color="000000" w:fill="FFFFFF"/>
            <w:noWrap/>
            <w:vAlign w:val="bottom"/>
            <w:hideMark/>
          </w:tcPr>
          <w:p w14:paraId="2A86C616" w14:textId="77777777" w:rsidR="00C442DB" w:rsidRPr="00C442DB" w:rsidRDefault="00C442DB" w:rsidP="00C442DB">
            <w:pPr>
              <w:jc w:val="right"/>
              <w:rPr>
                <w:rFonts w:ascii="Calibri" w:hAnsi="Calibri"/>
                <w:sz w:val="16"/>
                <w:szCs w:val="16"/>
              </w:rPr>
            </w:pPr>
            <w:r w:rsidRPr="00C442DB">
              <w:rPr>
                <w:rFonts w:ascii="Calibri" w:hAnsi="Calibri"/>
                <w:sz w:val="16"/>
                <w:szCs w:val="16"/>
              </w:rPr>
              <w:t>2.500</w:t>
            </w:r>
          </w:p>
        </w:tc>
        <w:tc>
          <w:tcPr>
            <w:tcW w:w="996" w:type="dxa"/>
            <w:tcBorders>
              <w:top w:val="nil"/>
              <w:left w:val="nil"/>
              <w:bottom w:val="single" w:sz="4" w:space="0" w:color="auto"/>
              <w:right w:val="single" w:sz="4" w:space="0" w:color="auto"/>
            </w:tcBorders>
            <w:shd w:val="clear" w:color="auto" w:fill="auto"/>
            <w:noWrap/>
            <w:vAlign w:val="bottom"/>
            <w:hideMark/>
          </w:tcPr>
          <w:p w14:paraId="0F6A0AFE" w14:textId="77777777" w:rsidR="00C442DB" w:rsidRPr="00C442DB" w:rsidRDefault="00C442DB" w:rsidP="00C442DB">
            <w:pPr>
              <w:jc w:val="right"/>
              <w:rPr>
                <w:rFonts w:ascii="Calibri" w:hAnsi="Calibri"/>
                <w:sz w:val="16"/>
                <w:szCs w:val="16"/>
              </w:rPr>
            </w:pPr>
            <w:r w:rsidRPr="00C442DB">
              <w:rPr>
                <w:rFonts w:ascii="Calibri" w:hAnsi="Calibri"/>
                <w:sz w:val="16"/>
                <w:szCs w:val="16"/>
              </w:rPr>
              <w:t>250.000,00</w:t>
            </w:r>
          </w:p>
        </w:tc>
        <w:tc>
          <w:tcPr>
            <w:tcW w:w="855" w:type="dxa"/>
            <w:tcBorders>
              <w:top w:val="nil"/>
              <w:left w:val="nil"/>
              <w:bottom w:val="single" w:sz="4" w:space="0" w:color="auto"/>
              <w:right w:val="single" w:sz="4" w:space="0" w:color="auto"/>
            </w:tcBorders>
            <w:shd w:val="clear" w:color="auto" w:fill="auto"/>
            <w:noWrap/>
            <w:vAlign w:val="bottom"/>
            <w:hideMark/>
          </w:tcPr>
          <w:p w14:paraId="7234734F"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5" w:type="dxa"/>
            <w:tcBorders>
              <w:top w:val="nil"/>
              <w:left w:val="nil"/>
              <w:bottom w:val="single" w:sz="4" w:space="0" w:color="auto"/>
              <w:right w:val="single" w:sz="4" w:space="0" w:color="auto"/>
            </w:tcBorders>
            <w:shd w:val="clear" w:color="auto" w:fill="auto"/>
            <w:noWrap/>
            <w:vAlign w:val="bottom"/>
            <w:hideMark/>
          </w:tcPr>
          <w:p w14:paraId="61389103" w14:textId="77777777" w:rsidR="00C442DB" w:rsidRPr="00C442DB" w:rsidRDefault="00C442DB" w:rsidP="00C442DB">
            <w:pPr>
              <w:jc w:val="right"/>
              <w:rPr>
                <w:rFonts w:ascii="Calibri" w:hAnsi="Calibri"/>
                <w:sz w:val="16"/>
                <w:szCs w:val="16"/>
              </w:rPr>
            </w:pPr>
            <w:r w:rsidRPr="00C442DB">
              <w:rPr>
                <w:rFonts w:ascii="Calibri" w:hAnsi="Calibri"/>
                <w:sz w:val="16"/>
                <w:szCs w:val="16"/>
              </w:rPr>
              <w:t>183.860,34</w:t>
            </w:r>
          </w:p>
        </w:tc>
        <w:tc>
          <w:tcPr>
            <w:tcW w:w="854" w:type="dxa"/>
            <w:tcBorders>
              <w:top w:val="nil"/>
              <w:left w:val="nil"/>
              <w:bottom w:val="single" w:sz="4" w:space="0" w:color="auto"/>
              <w:right w:val="single" w:sz="4" w:space="0" w:color="auto"/>
            </w:tcBorders>
            <w:shd w:val="clear" w:color="auto" w:fill="auto"/>
            <w:noWrap/>
            <w:vAlign w:val="bottom"/>
            <w:hideMark/>
          </w:tcPr>
          <w:p w14:paraId="52200EE8"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32E8CCEC" w14:textId="77777777" w:rsidR="00C442DB" w:rsidRPr="00C442DB" w:rsidRDefault="00C442DB" w:rsidP="00C442DB">
            <w:pPr>
              <w:jc w:val="left"/>
              <w:rPr>
                <w:rFonts w:ascii="Calibri" w:hAnsi="Calibri"/>
                <w:sz w:val="16"/>
                <w:szCs w:val="16"/>
              </w:rPr>
            </w:pPr>
            <w:r w:rsidRPr="00C442DB">
              <w:rPr>
                <w:rFonts w:ascii="Calibri" w:hAnsi="Calibri"/>
                <w:sz w:val="16"/>
                <w:szCs w:val="16"/>
              </w:rPr>
              <w:t>15.10.2030.</w:t>
            </w:r>
          </w:p>
        </w:tc>
        <w:tc>
          <w:tcPr>
            <w:tcW w:w="837" w:type="dxa"/>
            <w:gridSpan w:val="2"/>
            <w:tcBorders>
              <w:top w:val="nil"/>
              <w:left w:val="nil"/>
              <w:bottom w:val="single" w:sz="4" w:space="0" w:color="auto"/>
              <w:right w:val="single" w:sz="4" w:space="0" w:color="auto"/>
            </w:tcBorders>
            <w:shd w:val="clear" w:color="auto" w:fill="auto"/>
            <w:noWrap/>
            <w:vAlign w:val="bottom"/>
            <w:hideMark/>
          </w:tcPr>
          <w:p w14:paraId="280A5021"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15.08.2023.</w:t>
            </w:r>
          </w:p>
        </w:tc>
      </w:tr>
      <w:tr w:rsidR="00C442DB" w:rsidRPr="00C442DB" w14:paraId="132CC58A" w14:textId="77777777" w:rsidTr="009A46DA">
        <w:trPr>
          <w:trHeight w:val="315"/>
        </w:trPr>
        <w:tc>
          <w:tcPr>
            <w:tcW w:w="54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EA9AB52" w14:textId="3C95241C" w:rsidR="00C442DB" w:rsidRPr="00C442DB" w:rsidRDefault="00546DB4" w:rsidP="00C442DB">
            <w:pPr>
              <w:jc w:val="center"/>
              <w:rPr>
                <w:rFonts w:ascii="Calibri" w:hAnsi="Calibri"/>
                <w:sz w:val="16"/>
                <w:szCs w:val="16"/>
              </w:rPr>
            </w:pPr>
            <w:r>
              <w:rPr>
                <w:rFonts w:ascii="Calibri" w:hAnsi="Calibri"/>
                <w:sz w:val="16"/>
                <w:szCs w:val="16"/>
              </w:rPr>
              <w:t>29</w:t>
            </w:r>
          </w:p>
        </w:tc>
        <w:tc>
          <w:tcPr>
            <w:tcW w:w="1011" w:type="dxa"/>
            <w:gridSpan w:val="3"/>
            <w:tcBorders>
              <w:top w:val="nil"/>
              <w:left w:val="nil"/>
              <w:bottom w:val="single" w:sz="4" w:space="0" w:color="auto"/>
              <w:right w:val="single" w:sz="4" w:space="0" w:color="auto"/>
            </w:tcBorders>
            <w:shd w:val="clear" w:color="auto" w:fill="auto"/>
            <w:noWrap/>
            <w:vAlign w:val="bottom"/>
            <w:hideMark/>
          </w:tcPr>
          <w:p w14:paraId="5E1E4C24" w14:textId="77777777" w:rsidR="00C442DB" w:rsidRPr="00C442DB" w:rsidRDefault="00C442DB" w:rsidP="00C442DB">
            <w:pPr>
              <w:jc w:val="left"/>
              <w:rPr>
                <w:rFonts w:ascii="Calibri" w:hAnsi="Calibri"/>
                <w:sz w:val="16"/>
                <w:szCs w:val="16"/>
              </w:rPr>
            </w:pPr>
            <w:r w:rsidRPr="00C442DB">
              <w:rPr>
                <w:rFonts w:ascii="Calibri" w:hAnsi="Calibri"/>
                <w:sz w:val="16"/>
                <w:szCs w:val="16"/>
              </w:rPr>
              <w:t>KMSR-O-A Komunalac  Srbac</w:t>
            </w:r>
          </w:p>
        </w:tc>
        <w:tc>
          <w:tcPr>
            <w:tcW w:w="1125" w:type="dxa"/>
            <w:gridSpan w:val="2"/>
            <w:tcBorders>
              <w:top w:val="nil"/>
              <w:left w:val="nil"/>
              <w:bottom w:val="single" w:sz="4" w:space="0" w:color="auto"/>
              <w:right w:val="single" w:sz="4" w:space="0" w:color="auto"/>
            </w:tcBorders>
            <w:shd w:val="clear" w:color="auto" w:fill="auto"/>
            <w:noWrap/>
            <w:vAlign w:val="bottom"/>
            <w:hideMark/>
          </w:tcPr>
          <w:p w14:paraId="4B5BFBBC" w14:textId="77777777" w:rsidR="00C442DB" w:rsidRPr="00C442DB" w:rsidRDefault="00C442DB" w:rsidP="00C442DB">
            <w:pPr>
              <w:jc w:val="right"/>
              <w:rPr>
                <w:rFonts w:ascii="Calibri" w:hAnsi="Calibri"/>
                <w:sz w:val="16"/>
                <w:szCs w:val="16"/>
              </w:rPr>
            </w:pPr>
            <w:r w:rsidRPr="00C442DB">
              <w:rPr>
                <w:rFonts w:ascii="Calibri" w:hAnsi="Calibri"/>
                <w:sz w:val="16"/>
                <w:szCs w:val="16"/>
              </w:rPr>
              <w:t>410.000,00</w:t>
            </w:r>
          </w:p>
        </w:tc>
        <w:tc>
          <w:tcPr>
            <w:tcW w:w="874" w:type="dxa"/>
            <w:tcBorders>
              <w:top w:val="nil"/>
              <w:left w:val="nil"/>
              <w:bottom w:val="single" w:sz="4" w:space="0" w:color="auto"/>
              <w:right w:val="single" w:sz="4" w:space="0" w:color="auto"/>
            </w:tcBorders>
            <w:shd w:val="clear" w:color="000000" w:fill="FFFFFF"/>
            <w:noWrap/>
            <w:vAlign w:val="bottom"/>
            <w:hideMark/>
          </w:tcPr>
          <w:p w14:paraId="22D54266"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6A611A7E"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2A425301"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4D77112C" w14:textId="77777777" w:rsidR="00C442DB" w:rsidRPr="00C442DB" w:rsidRDefault="00C442DB" w:rsidP="00C442DB">
            <w:pPr>
              <w:jc w:val="right"/>
              <w:rPr>
                <w:rFonts w:ascii="Calibri" w:hAnsi="Calibri"/>
                <w:sz w:val="16"/>
                <w:szCs w:val="16"/>
              </w:rPr>
            </w:pPr>
            <w:r w:rsidRPr="00C442DB">
              <w:rPr>
                <w:rFonts w:ascii="Calibri" w:hAnsi="Calibri"/>
                <w:sz w:val="16"/>
                <w:szCs w:val="16"/>
              </w:rPr>
              <w:t>146.090,77</w:t>
            </w:r>
          </w:p>
        </w:tc>
        <w:tc>
          <w:tcPr>
            <w:tcW w:w="854" w:type="dxa"/>
            <w:tcBorders>
              <w:top w:val="nil"/>
              <w:left w:val="nil"/>
              <w:bottom w:val="single" w:sz="4" w:space="0" w:color="auto"/>
              <w:right w:val="single" w:sz="4" w:space="0" w:color="auto"/>
            </w:tcBorders>
            <w:shd w:val="clear" w:color="auto" w:fill="auto"/>
            <w:noWrap/>
            <w:vAlign w:val="bottom"/>
            <w:hideMark/>
          </w:tcPr>
          <w:p w14:paraId="6BDAAD95"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Mjesečno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3F421CD9" w14:textId="77777777" w:rsidR="00C442DB" w:rsidRPr="00C442DB" w:rsidRDefault="00C442DB" w:rsidP="00C442DB">
            <w:pPr>
              <w:jc w:val="left"/>
              <w:rPr>
                <w:rFonts w:ascii="Calibri" w:hAnsi="Calibri"/>
                <w:sz w:val="16"/>
                <w:szCs w:val="16"/>
              </w:rPr>
            </w:pPr>
            <w:r w:rsidRPr="00C442DB">
              <w:rPr>
                <w:rFonts w:ascii="Calibri" w:hAnsi="Calibri"/>
                <w:sz w:val="16"/>
                <w:szCs w:val="16"/>
              </w:rPr>
              <w:t>01.10.2031.</w:t>
            </w:r>
          </w:p>
        </w:tc>
        <w:tc>
          <w:tcPr>
            <w:tcW w:w="837" w:type="dxa"/>
            <w:gridSpan w:val="2"/>
            <w:tcBorders>
              <w:top w:val="nil"/>
              <w:left w:val="nil"/>
              <w:bottom w:val="single" w:sz="4" w:space="0" w:color="auto"/>
              <w:right w:val="single" w:sz="4" w:space="0" w:color="auto"/>
            </w:tcBorders>
            <w:shd w:val="clear" w:color="auto" w:fill="auto"/>
            <w:noWrap/>
            <w:vAlign w:val="bottom"/>
            <w:hideMark/>
          </w:tcPr>
          <w:p w14:paraId="66598413"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01.08.2023.</w:t>
            </w:r>
          </w:p>
        </w:tc>
      </w:tr>
      <w:tr w:rsidR="00C442DB" w:rsidRPr="00C442DB" w14:paraId="4102E0E6" w14:textId="77777777" w:rsidTr="009A46DA">
        <w:trPr>
          <w:trHeight w:val="315"/>
        </w:trPr>
        <w:tc>
          <w:tcPr>
            <w:tcW w:w="3555" w:type="dxa"/>
            <w:gridSpan w:val="8"/>
            <w:tcBorders>
              <w:top w:val="single" w:sz="4" w:space="0" w:color="auto"/>
              <w:left w:val="single" w:sz="4" w:space="0" w:color="auto"/>
              <w:bottom w:val="single" w:sz="4" w:space="0" w:color="auto"/>
              <w:right w:val="single" w:sz="4" w:space="0" w:color="000000"/>
            </w:tcBorders>
            <w:shd w:val="clear" w:color="000000" w:fill="C5D9F1"/>
            <w:vAlign w:val="center"/>
            <w:hideMark/>
          </w:tcPr>
          <w:p w14:paraId="37A3038B"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 xml:space="preserve">УКУПНО ХОВ ПРИВРЕДНИХ ДРУШТАВА (2) </w:t>
            </w:r>
          </w:p>
        </w:tc>
        <w:tc>
          <w:tcPr>
            <w:tcW w:w="996" w:type="dxa"/>
            <w:tcBorders>
              <w:top w:val="nil"/>
              <w:left w:val="nil"/>
              <w:bottom w:val="single" w:sz="4" w:space="0" w:color="auto"/>
              <w:right w:val="single" w:sz="4" w:space="0" w:color="auto"/>
            </w:tcBorders>
            <w:shd w:val="clear" w:color="000000" w:fill="C5D9F1"/>
            <w:noWrap/>
            <w:vAlign w:val="center"/>
            <w:hideMark/>
          </w:tcPr>
          <w:p w14:paraId="03CBBF1F" w14:textId="77777777" w:rsidR="00C442DB" w:rsidRPr="00C442DB" w:rsidRDefault="00C442DB" w:rsidP="00C442DB">
            <w:pPr>
              <w:jc w:val="right"/>
              <w:rPr>
                <w:rFonts w:ascii="Calibri" w:hAnsi="Calibri"/>
                <w:b/>
                <w:bCs/>
                <w:sz w:val="16"/>
                <w:szCs w:val="16"/>
              </w:rPr>
            </w:pPr>
            <w:r w:rsidRPr="00C442DB">
              <w:rPr>
                <w:rFonts w:ascii="Calibri" w:hAnsi="Calibri"/>
                <w:b/>
                <w:bCs/>
                <w:sz w:val="16"/>
                <w:szCs w:val="16"/>
              </w:rPr>
              <w:t>450.000,00</w:t>
            </w:r>
          </w:p>
        </w:tc>
        <w:tc>
          <w:tcPr>
            <w:tcW w:w="855" w:type="dxa"/>
            <w:tcBorders>
              <w:top w:val="nil"/>
              <w:left w:val="nil"/>
              <w:bottom w:val="single" w:sz="4" w:space="0" w:color="auto"/>
              <w:right w:val="single" w:sz="4" w:space="0" w:color="auto"/>
            </w:tcBorders>
            <w:shd w:val="clear" w:color="000000" w:fill="C5D9F1"/>
            <w:noWrap/>
            <w:vAlign w:val="center"/>
            <w:hideMark/>
          </w:tcPr>
          <w:p w14:paraId="3A6FB0A6"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C5D9F1"/>
            <w:noWrap/>
            <w:vAlign w:val="center"/>
            <w:hideMark/>
          </w:tcPr>
          <w:p w14:paraId="69D8A678" w14:textId="77777777" w:rsidR="00C442DB" w:rsidRPr="00C442DB" w:rsidRDefault="00C442DB" w:rsidP="00C442DB">
            <w:pPr>
              <w:jc w:val="right"/>
              <w:rPr>
                <w:rFonts w:ascii="Calibri" w:hAnsi="Calibri"/>
                <w:b/>
                <w:bCs/>
                <w:sz w:val="16"/>
                <w:szCs w:val="16"/>
              </w:rPr>
            </w:pPr>
            <w:r w:rsidRPr="00C442DB">
              <w:rPr>
                <w:rFonts w:ascii="Calibri" w:hAnsi="Calibri"/>
                <w:b/>
                <w:bCs/>
                <w:sz w:val="16"/>
                <w:szCs w:val="16"/>
              </w:rPr>
              <w:t>329.951,11</w:t>
            </w:r>
          </w:p>
        </w:tc>
        <w:tc>
          <w:tcPr>
            <w:tcW w:w="854" w:type="dxa"/>
            <w:tcBorders>
              <w:top w:val="nil"/>
              <w:left w:val="nil"/>
              <w:bottom w:val="single" w:sz="4" w:space="0" w:color="auto"/>
              <w:right w:val="single" w:sz="4" w:space="0" w:color="auto"/>
            </w:tcBorders>
            <w:shd w:val="clear" w:color="000000" w:fill="C5D9F1"/>
            <w:noWrap/>
            <w:vAlign w:val="bottom"/>
            <w:hideMark/>
          </w:tcPr>
          <w:p w14:paraId="37774573"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gridSpan w:val="2"/>
            <w:tcBorders>
              <w:top w:val="nil"/>
              <w:left w:val="nil"/>
              <w:bottom w:val="single" w:sz="4" w:space="0" w:color="auto"/>
              <w:right w:val="single" w:sz="4" w:space="0" w:color="auto"/>
            </w:tcBorders>
            <w:shd w:val="clear" w:color="000000" w:fill="C5D9F1"/>
            <w:noWrap/>
            <w:vAlign w:val="bottom"/>
            <w:hideMark/>
          </w:tcPr>
          <w:p w14:paraId="75B03047"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837" w:type="dxa"/>
            <w:gridSpan w:val="2"/>
            <w:tcBorders>
              <w:top w:val="nil"/>
              <w:left w:val="nil"/>
              <w:bottom w:val="single" w:sz="4" w:space="0" w:color="auto"/>
              <w:right w:val="single" w:sz="4" w:space="0" w:color="auto"/>
            </w:tcBorders>
            <w:shd w:val="clear" w:color="000000" w:fill="C5D9F1"/>
            <w:noWrap/>
            <w:vAlign w:val="bottom"/>
            <w:hideMark/>
          </w:tcPr>
          <w:p w14:paraId="03391C64"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r>
      <w:tr w:rsidR="00C442DB" w:rsidRPr="00C442DB" w14:paraId="297A4AA7" w14:textId="77777777" w:rsidTr="009A46DA">
        <w:trPr>
          <w:trHeight w:val="315"/>
        </w:trPr>
        <w:tc>
          <w:tcPr>
            <w:tcW w:w="3555" w:type="dxa"/>
            <w:gridSpan w:val="8"/>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267AB6B8"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 xml:space="preserve">UKUPNO HOV </w:t>
            </w:r>
          </w:p>
        </w:tc>
        <w:tc>
          <w:tcPr>
            <w:tcW w:w="996" w:type="dxa"/>
            <w:tcBorders>
              <w:top w:val="nil"/>
              <w:left w:val="nil"/>
              <w:bottom w:val="single" w:sz="4" w:space="0" w:color="auto"/>
              <w:right w:val="single" w:sz="4" w:space="0" w:color="auto"/>
            </w:tcBorders>
            <w:shd w:val="clear" w:color="000000" w:fill="8DB4E2"/>
            <w:noWrap/>
            <w:vAlign w:val="center"/>
            <w:hideMark/>
          </w:tcPr>
          <w:p w14:paraId="4CC06F2F" w14:textId="77777777" w:rsidR="00C442DB" w:rsidRPr="00C442DB" w:rsidRDefault="00C442DB" w:rsidP="00AF0599">
            <w:pPr>
              <w:ind w:left="-108" w:right="-125" w:firstLine="2"/>
              <w:jc w:val="right"/>
              <w:rPr>
                <w:rFonts w:ascii="Calibri" w:hAnsi="Calibri"/>
                <w:b/>
                <w:bCs/>
                <w:sz w:val="16"/>
                <w:szCs w:val="16"/>
              </w:rPr>
            </w:pPr>
            <w:r w:rsidRPr="00C442DB">
              <w:rPr>
                <w:rFonts w:ascii="Calibri" w:hAnsi="Calibri"/>
                <w:b/>
                <w:bCs/>
                <w:sz w:val="16"/>
                <w:szCs w:val="16"/>
              </w:rPr>
              <w:t>14.013.609,23</w:t>
            </w:r>
          </w:p>
        </w:tc>
        <w:tc>
          <w:tcPr>
            <w:tcW w:w="855" w:type="dxa"/>
            <w:tcBorders>
              <w:top w:val="nil"/>
              <w:left w:val="nil"/>
              <w:bottom w:val="single" w:sz="4" w:space="0" w:color="auto"/>
              <w:right w:val="single" w:sz="4" w:space="0" w:color="auto"/>
            </w:tcBorders>
            <w:shd w:val="clear" w:color="000000" w:fill="8DB4E2"/>
            <w:noWrap/>
            <w:vAlign w:val="center"/>
            <w:hideMark/>
          </w:tcPr>
          <w:p w14:paraId="0D763CB6"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8DB4E2"/>
            <w:noWrap/>
            <w:vAlign w:val="center"/>
            <w:hideMark/>
          </w:tcPr>
          <w:p w14:paraId="0C03D568" w14:textId="77777777" w:rsidR="00C442DB" w:rsidRPr="00C442DB" w:rsidRDefault="00C442DB" w:rsidP="00AF0599">
            <w:pPr>
              <w:ind w:left="-95" w:right="-117"/>
              <w:jc w:val="right"/>
              <w:rPr>
                <w:rFonts w:ascii="Calibri" w:hAnsi="Calibri"/>
                <w:b/>
                <w:bCs/>
                <w:sz w:val="16"/>
                <w:szCs w:val="16"/>
              </w:rPr>
            </w:pPr>
            <w:r w:rsidRPr="00C442DB">
              <w:rPr>
                <w:rFonts w:ascii="Calibri" w:hAnsi="Calibri"/>
                <w:b/>
                <w:bCs/>
                <w:sz w:val="16"/>
                <w:szCs w:val="16"/>
              </w:rPr>
              <w:t>11.512.096,34</w:t>
            </w:r>
          </w:p>
        </w:tc>
        <w:tc>
          <w:tcPr>
            <w:tcW w:w="854" w:type="dxa"/>
            <w:tcBorders>
              <w:top w:val="nil"/>
              <w:left w:val="nil"/>
              <w:bottom w:val="single" w:sz="4" w:space="0" w:color="auto"/>
              <w:right w:val="single" w:sz="4" w:space="0" w:color="auto"/>
            </w:tcBorders>
            <w:shd w:val="clear" w:color="000000" w:fill="8DB4E2"/>
            <w:noWrap/>
            <w:vAlign w:val="center"/>
            <w:hideMark/>
          </w:tcPr>
          <w:p w14:paraId="0A1EAE9B"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c>
          <w:tcPr>
            <w:tcW w:w="995" w:type="dxa"/>
            <w:gridSpan w:val="2"/>
            <w:tcBorders>
              <w:top w:val="nil"/>
              <w:left w:val="nil"/>
              <w:bottom w:val="single" w:sz="4" w:space="0" w:color="auto"/>
              <w:right w:val="single" w:sz="4" w:space="0" w:color="auto"/>
            </w:tcBorders>
            <w:shd w:val="clear" w:color="000000" w:fill="8DB4E2"/>
            <w:noWrap/>
            <w:vAlign w:val="center"/>
            <w:hideMark/>
          </w:tcPr>
          <w:p w14:paraId="561D3025"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c>
          <w:tcPr>
            <w:tcW w:w="837" w:type="dxa"/>
            <w:gridSpan w:val="2"/>
            <w:tcBorders>
              <w:top w:val="nil"/>
              <w:left w:val="nil"/>
              <w:bottom w:val="single" w:sz="4" w:space="0" w:color="auto"/>
              <w:right w:val="single" w:sz="4" w:space="0" w:color="auto"/>
            </w:tcBorders>
            <w:shd w:val="clear" w:color="000000" w:fill="8DB4E2"/>
            <w:noWrap/>
            <w:vAlign w:val="center"/>
            <w:hideMark/>
          </w:tcPr>
          <w:p w14:paraId="38CCF25A"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r>
    </w:tbl>
    <w:p w14:paraId="538EA7FB" w14:textId="77777777" w:rsidR="00823B1A" w:rsidRDefault="00823B1A" w:rsidP="00C442DB">
      <w:pPr>
        <w:jc w:val="left"/>
        <w:rPr>
          <w:rFonts w:asciiTheme="minorHAnsi" w:eastAsia="Calibri" w:hAnsiTheme="minorHAnsi"/>
          <w:b/>
          <w:color w:val="auto"/>
          <w:sz w:val="20"/>
          <w:szCs w:val="20"/>
          <w:lang w:val="sr-Cyrl-BA" w:eastAsia="en-US"/>
        </w:rPr>
      </w:pPr>
    </w:p>
    <w:p w14:paraId="22CF34AF" w14:textId="77777777" w:rsidR="000F5C04" w:rsidRDefault="000F5C04" w:rsidP="001538EF">
      <w:pPr>
        <w:rPr>
          <w:rFonts w:asciiTheme="minorHAnsi" w:hAnsiTheme="minorHAnsi"/>
          <w:sz w:val="20"/>
          <w:szCs w:val="20"/>
          <w:lang w:val="sr-Cyrl-CS" w:eastAsia="sr-Cyrl-CS"/>
        </w:rPr>
      </w:pPr>
    </w:p>
    <w:p w14:paraId="0224D1A7" w14:textId="77777777" w:rsidR="00170349" w:rsidRDefault="00170349" w:rsidP="001538EF">
      <w:pPr>
        <w:rPr>
          <w:rFonts w:asciiTheme="minorHAnsi" w:hAnsiTheme="minorHAnsi"/>
          <w:sz w:val="20"/>
          <w:szCs w:val="20"/>
          <w:lang w:val="sr-Cyrl-CS" w:eastAsia="sr-Cyrl-CS"/>
        </w:rPr>
      </w:pPr>
    </w:p>
    <w:p w14:paraId="598BB05C" w14:textId="77777777" w:rsidR="00170349" w:rsidRDefault="00170349" w:rsidP="001538EF">
      <w:pPr>
        <w:rPr>
          <w:rFonts w:asciiTheme="minorHAnsi" w:hAnsiTheme="minorHAnsi"/>
          <w:sz w:val="20"/>
          <w:szCs w:val="20"/>
          <w:lang w:val="sr-Cyrl-CS" w:eastAsia="sr-Cyrl-CS"/>
        </w:rPr>
      </w:pPr>
    </w:p>
    <w:p w14:paraId="5EF99835" w14:textId="77777777" w:rsidR="00170349" w:rsidRDefault="00170349" w:rsidP="001538EF">
      <w:pPr>
        <w:rPr>
          <w:rFonts w:asciiTheme="minorHAnsi" w:hAnsiTheme="minorHAnsi"/>
          <w:sz w:val="20"/>
          <w:szCs w:val="20"/>
          <w:lang w:val="sr-Cyrl-CS" w:eastAsia="sr-Cyrl-CS"/>
        </w:rPr>
      </w:pPr>
    </w:p>
    <w:p w14:paraId="2851117B" w14:textId="77777777" w:rsidR="00170349" w:rsidRDefault="00170349" w:rsidP="001538EF">
      <w:pPr>
        <w:rPr>
          <w:rFonts w:asciiTheme="minorHAnsi" w:hAnsiTheme="minorHAnsi"/>
          <w:sz w:val="20"/>
          <w:szCs w:val="20"/>
          <w:lang w:val="sr-Cyrl-CS" w:eastAsia="sr-Cyrl-CS"/>
        </w:rPr>
      </w:pPr>
    </w:p>
    <w:p w14:paraId="4918688F" w14:textId="77777777" w:rsidR="00170349" w:rsidRDefault="00170349" w:rsidP="001538EF">
      <w:pPr>
        <w:rPr>
          <w:rFonts w:asciiTheme="minorHAnsi" w:hAnsiTheme="minorHAnsi"/>
          <w:sz w:val="20"/>
          <w:szCs w:val="20"/>
          <w:lang w:val="sr-Cyrl-CS" w:eastAsia="sr-Cyrl-CS"/>
        </w:rPr>
      </w:pPr>
    </w:p>
    <w:p w14:paraId="48701DBA" w14:textId="77777777" w:rsidR="00170349" w:rsidRDefault="00170349" w:rsidP="001538EF">
      <w:pPr>
        <w:rPr>
          <w:rFonts w:asciiTheme="minorHAnsi" w:hAnsiTheme="minorHAnsi"/>
          <w:sz w:val="20"/>
          <w:szCs w:val="20"/>
          <w:lang w:val="sr-Cyrl-CS" w:eastAsia="sr-Cyrl-CS"/>
        </w:rPr>
      </w:pPr>
    </w:p>
    <w:p w14:paraId="10313201" w14:textId="77777777" w:rsidR="00170349" w:rsidRDefault="00170349" w:rsidP="001538EF">
      <w:pPr>
        <w:rPr>
          <w:rFonts w:asciiTheme="minorHAnsi" w:hAnsiTheme="minorHAnsi"/>
          <w:sz w:val="20"/>
          <w:szCs w:val="20"/>
          <w:lang w:val="sr-Cyrl-CS" w:eastAsia="sr-Cyrl-CS"/>
        </w:rPr>
      </w:pPr>
    </w:p>
    <w:p w14:paraId="4A580423" w14:textId="77777777" w:rsidR="00170349" w:rsidRDefault="00170349" w:rsidP="001538EF">
      <w:pPr>
        <w:rPr>
          <w:rFonts w:asciiTheme="minorHAnsi" w:hAnsiTheme="minorHAnsi"/>
          <w:sz w:val="20"/>
          <w:szCs w:val="20"/>
          <w:lang w:val="sr-Cyrl-CS" w:eastAsia="sr-Cyrl-CS"/>
        </w:rPr>
      </w:pPr>
    </w:p>
    <w:p w14:paraId="2DA3A043" w14:textId="77777777" w:rsidR="00170349" w:rsidRDefault="00170349" w:rsidP="001538EF">
      <w:pPr>
        <w:rPr>
          <w:rFonts w:asciiTheme="minorHAnsi" w:hAnsiTheme="minorHAnsi"/>
          <w:sz w:val="20"/>
          <w:szCs w:val="20"/>
          <w:lang w:val="sr-Cyrl-CS" w:eastAsia="sr-Cyrl-CS"/>
        </w:rPr>
      </w:pPr>
    </w:p>
    <w:p w14:paraId="7947F33E" w14:textId="77777777" w:rsidR="00170349" w:rsidRDefault="00170349" w:rsidP="001538EF">
      <w:pPr>
        <w:rPr>
          <w:rFonts w:asciiTheme="minorHAnsi" w:hAnsiTheme="minorHAnsi"/>
          <w:sz w:val="20"/>
          <w:szCs w:val="20"/>
          <w:lang w:val="sr-Cyrl-CS" w:eastAsia="sr-Cyrl-CS"/>
        </w:rPr>
      </w:pPr>
    </w:p>
    <w:p w14:paraId="584B879C" w14:textId="77777777" w:rsidR="00170349" w:rsidRDefault="00170349" w:rsidP="001538EF">
      <w:pPr>
        <w:rPr>
          <w:rFonts w:asciiTheme="minorHAnsi" w:hAnsiTheme="minorHAnsi"/>
          <w:sz w:val="20"/>
          <w:szCs w:val="20"/>
          <w:lang w:val="sr-Cyrl-CS" w:eastAsia="sr-Cyrl-CS"/>
        </w:rPr>
      </w:pPr>
    </w:p>
    <w:p w14:paraId="649E4FB3" w14:textId="77777777" w:rsidR="00170349" w:rsidRDefault="00170349" w:rsidP="001538EF">
      <w:pPr>
        <w:rPr>
          <w:rFonts w:asciiTheme="minorHAnsi" w:hAnsiTheme="minorHAnsi"/>
          <w:sz w:val="20"/>
          <w:szCs w:val="20"/>
          <w:lang w:val="sr-Cyrl-CS" w:eastAsia="sr-Cyrl-CS"/>
        </w:rPr>
      </w:pPr>
    </w:p>
    <w:p w14:paraId="286472AD" w14:textId="77777777" w:rsidR="00170349" w:rsidRDefault="00170349" w:rsidP="001538EF">
      <w:pPr>
        <w:rPr>
          <w:rFonts w:asciiTheme="minorHAnsi" w:hAnsiTheme="minorHAnsi"/>
          <w:sz w:val="20"/>
          <w:szCs w:val="20"/>
          <w:lang w:val="sr-Cyrl-CS" w:eastAsia="sr-Cyrl-CS"/>
        </w:rPr>
      </w:pPr>
    </w:p>
    <w:p w14:paraId="309018DC" w14:textId="77777777" w:rsidR="00170349" w:rsidRDefault="00170349" w:rsidP="001538EF">
      <w:pPr>
        <w:rPr>
          <w:rFonts w:asciiTheme="minorHAnsi" w:hAnsiTheme="minorHAnsi"/>
          <w:sz w:val="20"/>
          <w:szCs w:val="20"/>
          <w:lang w:val="sr-Cyrl-CS" w:eastAsia="sr-Cyrl-CS"/>
        </w:rPr>
      </w:pPr>
    </w:p>
    <w:p w14:paraId="23168ABD" w14:textId="77777777" w:rsidR="00170349" w:rsidRDefault="00170349" w:rsidP="001538EF">
      <w:pPr>
        <w:rPr>
          <w:rFonts w:asciiTheme="minorHAnsi" w:hAnsiTheme="minorHAnsi"/>
          <w:sz w:val="20"/>
          <w:szCs w:val="20"/>
          <w:lang w:val="sr-Cyrl-CS" w:eastAsia="sr-Cyrl-CS"/>
        </w:rPr>
      </w:pPr>
    </w:p>
    <w:p w14:paraId="32D52DD5" w14:textId="77777777" w:rsidR="00170349" w:rsidRDefault="00170349" w:rsidP="001538EF">
      <w:pPr>
        <w:rPr>
          <w:rFonts w:asciiTheme="minorHAnsi" w:hAnsiTheme="minorHAnsi"/>
          <w:sz w:val="20"/>
          <w:szCs w:val="20"/>
          <w:lang w:val="sr-Cyrl-CS" w:eastAsia="sr-Cyrl-CS"/>
        </w:rPr>
      </w:pPr>
    </w:p>
    <w:p w14:paraId="374C0E8F" w14:textId="77777777" w:rsidR="00170349" w:rsidRPr="005767EF" w:rsidRDefault="00170349" w:rsidP="001538EF">
      <w:pPr>
        <w:rPr>
          <w:rFonts w:asciiTheme="minorHAnsi" w:hAnsiTheme="minorHAnsi"/>
          <w:sz w:val="20"/>
          <w:szCs w:val="20"/>
          <w:lang w:val="sr-Cyrl-CS" w:eastAsia="sr-Cyrl-CS"/>
        </w:rPr>
      </w:pPr>
    </w:p>
    <w:p w14:paraId="7BD7570B" w14:textId="77777777" w:rsidR="001538EF" w:rsidRPr="005D0BE8" w:rsidRDefault="00E84021" w:rsidP="002E51B0">
      <w:pPr>
        <w:pStyle w:val="Heading1"/>
        <w:numPr>
          <w:ilvl w:val="0"/>
          <w:numId w:val="0"/>
        </w:numPr>
        <w:ind w:left="431" w:hanging="431"/>
        <w:rPr>
          <w:rFonts w:asciiTheme="minorHAnsi" w:hAnsiTheme="minorHAnsi"/>
          <w:lang w:val="sr-Cyrl-RS"/>
        </w:rPr>
      </w:pPr>
      <w:bookmarkStart w:id="19" w:name="_Toc135292180"/>
      <w:r>
        <w:rPr>
          <w:rFonts w:asciiTheme="minorHAnsi" w:hAnsiTheme="minorHAnsi"/>
          <w:lang w:val="sr-Cyrl-RS"/>
        </w:rPr>
        <w:t xml:space="preserve">4. </w:t>
      </w:r>
      <w:r w:rsidR="001538EF" w:rsidRPr="005767EF">
        <w:rPr>
          <w:rFonts w:asciiTheme="minorHAnsi" w:hAnsiTheme="minorHAnsi"/>
        </w:rPr>
        <w:t xml:space="preserve">АНАЛИЗА ОСТВАРЕЊА ПЛАНА ИНВЕСТИЦИЈА </w:t>
      </w:r>
      <w:r w:rsidR="005D0BE8">
        <w:rPr>
          <w:rFonts w:asciiTheme="minorHAnsi" w:hAnsiTheme="minorHAnsi"/>
          <w:lang w:val="sr-Cyrl-RS"/>
        </w:rPr>
        <w:t xml:space="preserve">У </w:t>
      </w:r>
      <w:r w:rsidR="001538EF" w:rsidRPr="005767EF">
        <w:rPr>
          <w:rFonts w:asciiTheme="minorHAnsi" w:hAnsiTheme="minorHAnsi"/>
        </w:rPr>
        <w:t>202</w:t>
      </w:r>
      <w:r w:rsidR="00330E93">
        <w:rPr>
          <w:rFonts w:asciiTheme="minorHAnsi" w:hAnsiTheme="minorHAnsi"/>
          <w:lang w:val="sr-Cyrl-RS"/>
        </w:rPr>
        <w:t>3</w:t>
      </w:r>
      <w:r w:rsidR="001538EF" w:rsidRPr="005767EF">
        <w:rPr>
          <w:rFonts w:asciiTheme="minorHAnsi" w:hAnsiTheme="minorHAnsi"/>
        </w:rPr>
        <w:t>. ГОДИН</w:t>
      </w:r>
      <w:bookmarkEnd w:id="19"/>
      <w:r w:rsidR="005D0BE8">
        <w:rPr>
          <w:rFonts w:asciiTheme="minorHAnsi" w:hAnsiTheme="minorHAnsi"/>
          <w:lang w:val="sr-Cyrl-RS"/>
        </w:rPr>
        <w:t>И</w:t>
      </w:r>
    </w:p>
    <w:p w14:paraId="0F332BB3" w14:textId="77777777" w:rsidR="005B6F87" w:rsidRDefault="001538EF" w:rsidP="001538EF">
      <w:pPr>
        <w:rPr>
          <w:rFonts w:asciiTheme="minorHAnsi" w:hAnsiTheme="minorHAnsi"/>
          <w:sz w:val="20"/>
          <w:szCs w:val="20"/>
          <w:lang w:val="sr-Cyrl-CS" w:eastAsia="sr-Cyrl-CS"/>
        </w:rPr>
      </w:pPr>
      <w:r w:rsidRPr="005767EF">
        <w:rPr>
          <w:rFonts w:asciiTheme="minorHAnsi" w:hAnsiTheme="minorHAnsi"/>
          <w:sz w:val="20"/>
          <w:szCs w:val="20"/>
          <w:lang w:val="sr-Cyrl-CS" w:eastAsia="sr-Cyrl-CS"/>
        </w:rPr>
        <w:t xml:space="preserve">План инвестиција </w:t>
      </w:r>
      <w:r w:rsidR="002E51B0">
        <w:rPr>
          <w:rFonts w:asciiTheme="minorHAnsi" w:hAnsiTheme="minorHAnsi"/>
          <w:sz w:val="20"/>
          <w:szCs w:val="20"/>
          <w:lang w:val="sr-Cyrl-CS" w:eastAsia="sr-Cyrl-CS"/>
        </w:rPr>
        <w:t xml:space="preserve">је </w:t>
      </w:r>
      <w:r w:rsidRPr="005767EF">
        <w:rPr>
          <w:rFonts w:asciiTheme="minorHAnsi" w:hAnsiTheme="minorHAnsi"/>
          <w:sz w:val="20"/>
          <w:szCs w:val="20"/>
          <w:lang w:val="sr-Cyrl-BA" w:eastAsia="sr-Cyrl-CS"/>
        </w:rPr>
        <w:t>с</w:t>
      </w:r>
      <w:r w:rsidRPr="005767EF">
        <w:rPr>
          <w:rFonts w:asciiTheme="minorHAnsi" w:hAnsiTheme="minorHAnsi"/>
          <w:sz w:val="20"/>
          <w:szCs w:val="20"/>
          <w:lang w:val="sr-Cyrl-CS" w:eastAsia="sr-Cyrl-CS"/>
        </w:rPr>
        <w:t>аставни дио плана јавних набавки за 202</w:t>
      </w:r>
      <w:r w:rsidR="002E51B0">
        <w:rPr>
          <w:rFonts w:asciiTheme="minorHAnsi" w:hAnsiTheme="minorHAnsi"/>
          <w:sz w:val="20"/>
          <w:szCs w:val="20"/>
          <w:lang w:val="sr-Cyrl-CS" w:eastAsia="sr-Cyrl-CS"/>
        </w:rPr>
        <w:t>3</w:t>
      </w:r>
      <w:r w:rsidRPr="005767EF">
        <w:rPr>
          <w:rFonts w:asciiTheme="minorHAnsi" w:hAnsiTheme="minorHAnsi"/>
          <w:sz w:val="20"/>
          <w:szCs w:val="20"/>
          <w:lang w:val="sr-Cyrl-CS" w:eastAsia="sr-Cyrl-CS"/>
        </w:rPr>
        <w:t>. годину и ребаланс</w:t>
      </w:r>
      <w:r w:rsidR="002E51B0">
        <w:rPr>
          <w:rFonts w:asciiTheme="minorHAnsi" w:hAnsiTheme="minorHAnsi"/>
          <w:sz w:val="20"/>
          <w:szCs w:val="20"/>
          <w:lang w:val="sr-Cyrl-CS" w:eastAsia="sr-Cyrl-CS"/>
        </w:rPr>
        <w:t>а плана јавних набавки, а истим су и 2023. години планиране инвестиције у износу од 36.950,00 КМ. Највећи дио планираних инвестиција се односио на програмску подршку, односно</w:t>
      </w:r>
      <w:r w:rsidR="005B6F87">
        <w:rPr>
          <w:rFonts w:asciiTheme="minorHAnsi" w:hAnsiTheme="minorHAnsi"/>
          <w:sz w:val="20"/>
          <w:szCs w:val="20"/>
          <w:lang w:val="sr-Cyrl-CS" w:eastAsia="sr-Cyrl-CS"/>
        </w:rPr>
        <w:t xml:space="preserve"> улагања у надоградњу софтвера и </w:t>
      </w:r>
      <w:r w:rsidR="001374B3">
        <w:rPr>
          <w:rFonts w:asciiTheme="minorHAnsi" w:hAnsiTheme="minorHAnsi"/>
          <w:sz w:val="20"/>
          <w:szCs w:val="20"/>
          <w:lang w:val="sr-Cyrl-CS" w:eastAsia="sr-Cyrl-CS"/>
        </w:rPr>
        <w:t>ту</w:t>
      </w:r>
      <w:r w:rsidR="005B6F87">
        <w:rPr>
          <w:rFonts w:asciiTheme="minorHAnsi" w:hAnsiTheme="minorHAnsi"/>
          <w:sz w:val="20"/>
          <w:szCs w:val="20"/>
          <w:lang w:val="sr-Cyrl-CS" w:eastAsia="sr-Cyrl-CS"/>
        </w:rPr>
        <w:t xml:space="preserve"> постоји </w:t>
      </w:r>
      <w:r w:rsidR="002E51B0">
        <w:rPr>
          <w:rFonts w:asciiTheme="minorHAnsi" w:hAnsiTheme="minorHAnsi"/>
          <w:sz w:val="20"/>
          <w:szCs w:val="20"/>
          <w:lang w:val="sr-Cyrl-CS" w:eastAsia="sr-Cyrl-CS"/>
        </w:rPr>
        <w:t>значајно одступање у однос</w:t>
      </w:r>
      <w:r w:rsidR="005B6F87">
        <w:rPr>
          <w:rFonts w:asciiTheme="minorHAnsi" w:hAnsiTheme="minorHAnsi"/>
          <w:sz w:val="20"/>
          <w:szCs w:val="20"/>
          <w:lang w:val="sr-Cyrl-CS" w:eastAsia="sr-Cyrl-CS"/>
        </w:rPr>
        <w:t>у</w:t>
      </w:r>
      <w:r w:rsidR="002E51B0">
        <w:rPr>
          <w:rFonts w:asciiTheme="minorHAnsi" w:hAnsiTheme="minorHAnsi"/>
          <w:sz w:val="20"/>
          <w:szCs w:val="20"/>
          <w:lang w:val="sr-Cyrl-CS" w:eastAsia="sr-Cyrl-CS"/>
        </w:rPr>
        <w:t xml:space="preserve"> на план, с обзиром да већина ставки није реализована до краја год</w:t>
      </w:r>
      <w:r w:rsidR="005B6F87">
        <w:rPr>
          <w:rFonts w:asciiTheme="minorHAnsi" w:hAnsiTheme="minorHAnsi"/>
          <w:sz w:val="20"/>
          <w:szCs w:val="20"/>
          <w:lang w:val="sr-Cyrl-CS" w:eastAsia="sr-Cyrl-CS"/>
        </w:rPr>
        <w:t>ине. У програмску подршку, однос</w:t>
      </w:r>
      <w:r w:rsidR="002E51B0">
        <w:rPr>
          <w:rFonts w:asciiTheme="minorHAnsi" w:hAnsiTheme="minorHAnsi"/>
          <w:sz w:val="20"/>
          <w:szCs w:val="20"/>
          <w:lang w:val="sr-Cyrl-CS" w:eastAsia="sr-Cyrl-CS"/>
        </w:rPr>
        <w:t>но услуге дораде соф</w:t>
      </w:r>
      <w:r w:rsidR="005B6F87">
        <w:rPr>
          <w:rFonts w:asciiTheme="minorHAnsi" w:hAnsiTheme="minorHAnsi"/>
          <w:sz w:val="20"/>
          <w:szCs w:val="20"/>
          <w:lang w:val="sr-Cyrl-CS" w:eastAsia="sr-Cyrl-CS"/>
        </w:rPr>
        <w:t>твера је инвестирано 8.979,46 КМ</w:t>
      </w:r>
      <w:r w:rsidR="002E51B0">
        <w:rPr>
          <w:rFonts w:asciiTheme="minorHAnsi" w:hAnsiTheme="minorHAnsi"/>
          <w:sz w:val="20"/>
          <w:szCs w:val="20"/>
          <w:lang w:val="sr-Cyrl-CS" w:eastAsia="sr-Cyrl-CS"/>
        </w:rPr>
        <w:t xml:space="preserve">, што је 33,32% планираног износа за дату годину. </w:t>
      </w:r>
      <w:r w:rsidR="005B6F87">
        <w:rPr>
          <w:rFonts w:asciiTheme="minorHAnsi" w:hAnsiTheme="minorHAnsi"/>
          <w:sz w:val="20"/>
          <w:szCs w:val="20"/>
          <w:lang w:val="sr-Cyrl-CS" w:eastAsia="sr-Cyrl-CS"/>
        </w:rPr>
        <w:t xml:space="preserve">Реализоване су планиране активности које се тичу надоградње софтвера гаранција и надоградње софтвера са модулом за кредитни портфељ за енергетску ефикасност. </w:t>
      </w:r>
    </w:p>
    <w:p w14:paraId="39201851" w14:textId="77777777" w:rsidR="001538EF" w:rsidRDefault="002E51B0" w:rsidP="001538EF">
      <w:pPr>
        <w:rPr>
          <w:rFonts w:asciiTheme="minorHAnsi" w:hAnsiTheme="minorHAnsi"/>
          <w:sz w:val="20"/>
          <w:szCs w:val="20"/>
          <w:lang w:val="sr-Cyrl-BA" w:eastAsia="sr-Cyrl-CS"/>
        </w:rPr>
      </w:pPr>
      <w:r>
        <w:rPr>
          <w:rFonts w:asciiTheme="minorHAnsi" w:hAnsiTheme="minorHAnsi"/>
          <w:sz w:val="20"/>
          <w:szCs w:val="20"/>
          <w:lang w:val="sr-Cyrl-CS" w:eastAsia="sr-Cyrl-CS"/>
        </w:rPr>
        <w:t>Што се тиче улагања у опрему, планирани износ је премашен, а извршено је улагање у износу од 16.812,67 КМ. Наведено улагање се односи на рачунарску опрему</w:t>
      </w:r>
      <w:r w:rsidR="005B6F87">
        <w:rPr>
          <w:rFonts w:asciiTheme="minorHAnsi" w:hAnsiTheme="minorHAnsi"/>
          <w:sz w:val="20"/>
          <w:szCs w:val="20"/>
          <w:lang w:val="sr-Cyrl-CS" w:eastAsia="sr-Cyrl-CS"/>
        </w:rPr>
        <w:t xml:space="preserve"> у износу од 7.960,04 КМ</w:t>
      </w:r>
      <w:r>
        <w:rPr>
          <w:rFonts w:asciiTheme="minorHAnsi" w:hAnsiTheme="minorHAnsi"/>
          <w:sz w:val="20"/>
          <w:szCs w:val="20"/>
          <w:lang w:val="sr-Cyrl-CS" w:eastAsia="sr-Cyrl-CS"/>
        </w:rPr>
        <w:t xml:space="preserve">, телефоне </w:t>
      </w:r>
      <w:r w:rsidR="005B6F87">
        <w:rPr>
          <w:rFonts w:asciiTheme="minorHAnsi" w:hAnsiTheme="minorHAnsi"/>
          <w:sz w:val="20"/>
          <w:szCs w:val="20"/>
          <w:lang w:val="sr-Cyrl-CS" w:eastAsia="sr-Cyrl-CS"/>
        </w:rPr>
        <w:t xml:space="preserve">у износу од 7.585,00 КМ </w:t>
      </w:r>
      <w:r>
        <w:rPr>
          <w:rFonts w:asciiTheme="minorHAnsi" w:hAnsiTheme="minorHAnsi"/>
          <w:sz w:val="20"/>
          <w:szCs w:val="20"/>
          <w:lang w:val="sr-Cyrl-CS" w:eastAsia="sr-Cyrl-CS"/>
        </w:rPr>
        <w:t xml:space="preserve">и  </w:t>
      </w:r>
      <w:r w:rsidR="001538EF" w:rsidRPr="005767EF">
        <w:rPr>
          <w:rFonts w:asciiTheme="minorHAnsi" w:hAnsiTheme="minorHAnsi"/>
          <w:sz w:val="20"/>
          <w:szCs w:val="20"/>
          <w:lang w:val="sr-Cyrl-CS" w:eastAsia="sr-Cyrl-CS"/>
        </w:rPr>
        <w:t>набавк</w:t>
      </w:r>
      <w:r>
        <w:rPr>
          <w:rFonts w:asciiTheme="minorHAnsi" w:hAnsiTheme="minorHAnsi"/>
          <w:sz w:val="20"/>
          <w:szCs w:val="20"/>
          <w:lang w:val="sr-Cyrl-CS" w:eastAsia="sr-Cyrl-CS"/>
        </w:rPr>
        <w:t>у клима уређаја за сервер салу</w:t>
      </w:r>
      <w:r w:rsidR="005B6F87">
        <w:rPr>
          <w:rFonts w:asciiTheme="minorHAnsi" w:hAnsiTheme="minorHAnsi"/>
          <w:sz w:val="20"/>
          <w:szCs w:val="20"/>
          <w:lang w:val="sr-Cyrl-CS" w:eastAsia="sr-Cyrl-CS"/>
        </w:rPr>
        <w:t xml:space="preserve"> у износу од 1.267,63 КМ</w:t>
      </w:r>
      <w:r>
        <w:rPr>
          <w:rFonts w:asciiTheme="minorHAnsi" w:hAnsiTheme="minorHAnsi"/>
          <w:sz w:val="20"/>
          <w:szCs w:val="20"/>
          <w:lang w:val="sr-Cyrl-CS" w:eastAsia="sr-Cyrl-CS"/>
        </w:rPr>
        <w:t>.</w:t>
      </w:r>
      <w:r w:rsidR="005B6F87">
        <w:rPr>
          <w:rFonts w:asciiTheme="minorHAnsi" w:hAnsiTheme="minorHAnsi"/>
          <w:sz w:val="20"/>
          <w:szCs w:val="20"/>
          <w:lang w:val="sr-Cyrl-BA" w:eastAsia="sr-Cyrl-CS"/>
        </w:rPr>
        <w:t xml:space="preserve"> </w:t>
      </w:r>
    </w:p>
    <w:p w14:paraId="1F51AE4C" w14:textId="77777777" w:rsidR="005B6F87" w:rsidRDefault="005B6F87" w:rsidP="001538EF">
      <w:pPr>
        <w:rPr>
          <w:rFonts w:asciiTheme="minorHAnsi" w:hAnsiTheme="minorHAnsi"/>
          <w:sz w:val="20"/>
          <w:szCs w:val="20"/>
          <w:lang w:val="sr-Cyrl-BA" w:eastAsia="sr-Cyrl-CS"/>
        </w:rPr>
      </w:pPr>
      <w:r>
        <w:rPr>
          <w:rFonts w:asciiTheme="minorHAnsi" w:hAnsiTheme="minorHAnsi"/>
          <w:sz w:val="20"/>
          <w:szCs w:val="20"/>
          <w:lang w:val="sr-Cyrl-BA" w:eastAsia="sr-Cyrl-CS"/>
        </w:rPr>
        <w:t>Укупно инвестирана средства у опрему и програмску подршку током 2023. године су износила 42.604,80 КМ.</w:t>
      </w:r>
    </w:p>
    <w:p w14:paraId="1B986F68" w14:textId="77777777" w:rsidR="005B6F87" w:rsidRDefault="005B6F87" w:rsidP="001538EF">
      <w:pPr>
        <w:rPr>
          <w:rFonts w:asciiTheme="minorHAnsi" w:hAnsiTheme="minorHAnsi"/>
          <w:sz w:val="20"/>
          <w:szCs w:val="20"/>
          <w:lang w:val="sr-Cyrl-BA" w:eastAsia="sr-Cyrl-CS"/>
        </w:rPr>
      </w:pPr>
    </w:p>
    <w:p w14:paraId="41F69B6F" w14:textId="77777777" w:rsidR="005B6F87" w:rsidRPr="005B6F87" w:rsidRDefault="005B6F87" w:rsidP="005B6F87">
      <w:pPr>
        <w:jc w:val="center"/>
        <w:rPr>
          <w:rFonts w:asciiTheme="minorHAnsi" w:hAnsiTheme="minorHAnsi"/>
          <w:b/>
          <w:sz w:val="20"/>
          <w:szCs w:val="20"/>
          <w:lang w:val="sr-Cyrl-BA" w:eastAsia="sr-Cyrl-CS"/>
        </w:rPr>
      </w:pPr>
      <w:r w:rsidRPr="005B6F87">
        <w:rPr>
          <w:rFonts w:asciiTheme="minorHAnsi" w:hAnsiTheme="minorHAnsi"/>
          <w:b/>
          <w:sz w:val="20"/>
          <w:szCs w:val="20"/>
          <w:lang w:val="sr-Cyrl-BA" w:eastAsia="sr-Cyrl-CS"/>
        </w:rPr>
        <w:t>Преглед реализованих инвестиција у 2023. години</w:t>
      </w:r>
    </w:p>
    <w:p w14:paraId="2CB5C313" w14:textId="77777777" w:rsidR="005B6F87" w:rsidRPr="005767EF" w:rsidRDefault="005B6F87" w:rsidP="001538EF">
      <w:pPr>
        <w:rPr>
          <w:rFonts w:asciiTheme="minorHAnsi" w:hAnsiTheme="minorHAnsi"/>
          <w:sz w:val="20"/>
          <w:szCs w:val="20"/>
          <w:lang w:val="sr-Cyrl-BA" w:eastAsia="sr-Cyrl-CS"/>
        </w:rPr>
      </w:pPr>
    </w:p>
    <w:p w14:paraId="540969E5" w14:textId="77777777" w:rsidR="002E51B0" w:rsidRPr="005B6F87" w:rsidRDefault="002E51B0" w:rsidP="005B6F87">
      <w:pPr>
        <w:ind w:left="7799"/>
        <w:rPr>
          <w:rFonts w:asciiTheme="minorHAnsi" w:hAnsiTheme="minorHAnsi"/>
          <w:b/>
          <w:sz w:val="20"/>
          <w:szCs w:val="20"/>
          <w:lang w:val="sr-Cyrl-BA" w:eastAsia="sr-Cyrl-CS"/>
        </w:rPr>
      </w:pPr>
      <w:r>
        <w:rPr>
          <w:rFonts w:asciiTheme="minorHAnsi" w:hAnsiTheme="minorHAnsi"/>
          <w:b/>
          <w:sz w:val="20"/>
          <w:szCs w:val="20"/>
          <w:lang w:val="sr-Cyrl-BA" w:eastAsia="sr-Cyrl-CS"/>
        </w:rPr>
        <w:t xml:space="preserve">  </w:t>
      </w:r>
      <w:r w:rsidRPr="005767EF">
        <w:rPr>
          <w:rFonts w:asciiTheme="minorHAnsi" w:hAnsiTheme="minorHAnsi"/>
          <w:b/>
          <w:sz w:val="20"/>
          <w:szCs w:val="20"/>
          <w:lang w:val="sr-Cyrl-BA" w:eastAsia="sr-Cyrl-CS"/>
        </w:rPr>
        <w:t>Табела 3</w:t>
      </w:r>
      <w:r>
        <w:rPr>
          <w:rFonts w:asciiTheme="minorHAnsi" w:hAnsiTheme="minorHAnsi"/>
          <w:b/>
          <w:sz w:val="20"/>
          <w:szCs w:val="20"/>
          <w:lang w:val="sr-Cyrl-BA" w:eastAsia="sr-Cyrl-CS"/>
        </w:rPr>
        <w:t>0</w:t>
      </w:r>
    </w:p>
    <w:tbl>
      <w:tblPr>
        <w:tblW w:w="8804" w:type="dxa"/>
        <w:tblInd w:w="93" w:type="dxa"/>
        <w:tblLook w:val="04A0" w:firstRow="1" w:lastRow="0" w:firstColumn="1" w:lastColumn="0" w:noHBand="0" w:noVBand="1"/>
      </w:tblPr>
      <w:tblGrid>
        <w:gridCol w:w="760"/>
        <w:gridCol w:w="3791"/>
        <w:gridCol w:w="1701"/>
        <w:gridCol w:w="1560"/>
        <w:gridCol w:w="992"/>
      </w:tblGrid>
      <w:tr w:rsidR="002E51B0" w:rsidRPr="002E51B0" w14:paraId="42EEDA3B" w14:textId="77777777" w:rsidTr="002E51B0">
        <w:trPr>
          <w:trHeight w:val="510"/>
        </w:trPr>
        <w:tc>
          <w:tcPr>
            <w:tcW w:w="760"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083066AA"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lang w:val="sr-Cyrl-BA"/>
              </w:rPr>
              <w:t>Редни број</w:t>
            </w:r>
          </w:p>
        </w:tc>
        <w:tc>
          <w:tcPr>
            <w:tcW w:w="3791" w:type="dxa"/>
            <w:tcBorders>
              <w:top w:val="single" w:sz="4" w:space="0" w:color="auto"/>
              <w:left w:val="nil"/>
              <w:bottom w:val="single" w:sz="4" w:space="0" w:color="auto"/>
              <w:right w:val="single" w:sz="4" w:space="0" w:color="auto"/>
            </w:tcBorders>
            <w:shd w:val="clear" w:color="000000" w:fill="8DB4E2"/>
            <w:vAlign w:val="center"/>
            <w:hideMark/>
          </w:tcPr>
          <w:p w14:paraId="43DF2D86"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 xml:space="preserve">Инвестиције </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14:paraId="63E23622"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lang w:val="sr-Cyrl-BA"/>
              </w:rPr>
              <w:t>Планирано у 2023. години</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14:paraId="7843A8FD"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 xml:space="preserve">Остварено у 2023. години </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14:paraId="56B6EEAA"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Индекс</w:t>
            </w:r>
          </w:p>
        </w:tc>
      </w:tr>
      <w:tr w:rsidR="002E51B0" w:rsidRPr="002E51B0" w14:paraId="1D6CAA7B"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036E78B"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1.</w:t>
            </w:r>
          </w:p>
        </w:tc>
        <w:tc>
          <w:tcPr>
            <w:tcW w:w="3791" w:type="dxa"/>
            <w:tcBorders>
              <w:top w:val="nil"/>
              <w:left w:val="nil"/>
              <w:bottom w:val="single" w:sz="4" w:space="0" w:color="auto"/>
              <w:right w:val="single" w:sz="4" w:space="0" w:color="auto"/>
            </w:tcBorders>
            <w:shd w:val="clear" w:color="auto" w:fill="auto"/>
            <w:noWrap/>
            <w:vAlign w:val="center"/>
            <w:hideMark/>
          </w:tcPr>
          <w:p w14:paraId="355D9EBB" w14:textId="77777777" w:rsidR="002E51B0" w:rsidRPr="002E51B0" w:rsidRDefault="002E51B0" w:rsidP="002E51B0">
            <w:pPr>
              <w:rPr>
                <w:rFonts w:ascii="Calibri" w:hAnsi="Calibri"/>
                <w:b/>
                <w:bCs/>
                <w:color w:val="auto"/>
                <w:sz w:val="20"/>
                <w:szCs w:val="20"/>
              </w:rPr>
            </w:pPr>
            <w:r w:rsidRPr="002E51B0">
              <w:rPr>
                <w:rFonts w:ascii="Calibri" w:hAnsi="Calibri"/>
                <w:b/>
                <w:bCs/>
                <w:color w:val="auto"/>
                <w:sz w:val="20"/>
                <w:szCs w:val="20"/>
              </w:rPr>
              <w:t>Адаптација пословног простора</w:t>
            </w:r>
          </w:p>
        </w:tc>
        <w:tc>
          <w:tcPr>
            <w:tcW w:w="1701" w:type="dxa"/>
            <w:tcBorders>
              <w:top w:val="nil"/>
              <w:left w:val="nil"/>
              <w:bottom w:val="single" w:sz="4" w:space="0" w:color="auto"/>
              <w:right w:val="single" w:sz="4" w:space="0" w:color="auto"/>
            </w:tcBorders>
            <w:shd w:val="clear" w:color="auto" w:fill="auto"/>
            <w:vAlign w:val="center"/>
            <w:hideMark/>
          </w:tcPr>
          <w:p w14:paraId="639F409A"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1.000,00</w:t>
            </w:r>
          </w:p>
        </w:tc>
        <w:tc>
          <w:tcPr>
            <w:tcW w:w="1560" w:type="dxa"/>
            <w:tcBorders>
              <w:top w:val="nil"/>
              <w:left w:val="nil"/>
              <w:bottom w:val="single" w:sz="4" w:space="0" w:color="auto"/>
              <w:right w:val="single" w:sz="4" w:space="0" w:color="auto"/>
            </w:tcBorders>
            <w:shd w:val="clear" w:color="auto" w:fill="auto"/>
            <w:noWrap/>
            <w:vAlign w:val="center"/>
            <w:hideMark/>
          </w:tcPr>
          <w:p w14:paraId="6F7E3786"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5824F8E1"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Latn-BA"/>
              </w:rPr>
              <w:t>0,00</w:t>
            </w:r>
          </w:p>
        </w:tc>
      </w:tr>
      <w:tr w:rsidR="002E51B0" w:rsidRPr="002E51B0" w14:paraId="276129C2"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CD4E2E2"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lang w:val="sr-Cyrl-BA"/>
              </w:rPr>
              <w:t>2.</w:t>
            </w:r>
          </w:p>
        </w:tc>
        <w:tc>
          <w:tcPr>
            <w:tcW w:w="3791" w:type="dxa"/>
            <w:tcBorders>
              <w:top w:val="nil"/>
              <w:left w:val="nil"/>
              <w:bottom w:val="single" w:sz="4" w:space="0" w:color="auto"/>
              <w:right w:val="single" w:sz="4" w:space="0" w:color="auto"/>
            </w:tcBorders>
            <w:shd w:val="clear" w:color="auto" w:fill="auto"/>
            <w:noWrap/>
            <w:vAlign w:val="center"/>
            <w:hideMark/>
          </w:tcPr>
          <w:p w14:paraId="3E10ECC4" w14:textId="77777777" w:rsidR="002E51B0" w:rsidRPr="002E51B0" w:rsidRDefault="002E51B0" w:rsidP="002E51B0">
            <w:pPr>
              <w:rPr>
                <w:rFonts w:ascii="Calibri" w:hAnsi="Calibri"/>
                <w:b/>
                <w:bCs/>
                <w:color w:val="auto"/>
                <w:sz w:val="20"/>
                <w:szCs w:val="20"/>
              </w:rPr>
            </w:pPr>
            <w:r w:rsidRPr="002E51B0">
              <w:rPr>
                <w:rFonts w:ascii="Calibri" w:hAnsi="Calibri"/>
                <w:b/>
                <w:bCs/>
                <w:color w:val="auto"/>
                <w:sz w:val="20"/>
                <w:szCs w:val="20"/>
              </w:rPr>
              <w:t>Опрема</w:t>
            </w:r>
          </w:p>
        </w:tc>
        <w:tc>
          <w:tcPr>
            <w:tcW w:w="1701" w:type="dxa"/>
            <w:tcBorders>
              <w:top w:val="nil"/>
              <w:left w:val="nil"/>
              <w:bottom w:val="single" w:sz="4" w:space="0" w:color="auto"/>
              <w:right w:val="single" w:sz="4" w:space="0" w:color="auto"/>
            </w:tcBorders>
            <w:shd w:val="clear" w:color="auto" w:fill="auto"/>
            <w:vAlign w:val="center"/>
            <w:hideMark/>
          </w:tcPr>
          <w:p w14:paraId="2A57EE00"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Cyrl-BA"/>
              </w:rPr>
              <w:t>9.000,00</w:t>
            </w:r>
          </w:p>
        </w:tc>
        <w:tc>
          <w:tcPr>
            <w:tcW w:w="1560" w:type="dxa"/>
            <w:tcBorders>
              <w:top w:val="nil"/>
              <w:left w:val="nil"/>
              <w:bottom w:val="single" w:sz="4" w:space="0" w:color="auto"/>
              <w:right w:val="single" w:sz="4" w:space="0" w:color="auto"/>
            </w:tcBorders>
            <w:shd w:val="clear" w:color="auto" w:fill="auto"/>
            <w:noWrap/>
            <w:vAlign w:val="center"/>
            <w:hideMark/>
          </w:tcPr>
          <w:p w14:paraId="0A5244D4"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16.812,67</w:t>
            </w:r>
          </w:p>
        </w:tc>
        <w:tc>
          <w:tcPr>
            <w:tcW w:w="992" w:type="dxa"/>
            <w:tcBorders>
              <w:top w:val="nil"/>
              <w:left w:val="nil"/>
              <w:bottom w:val="single" w:sz="4" w:space="0" w:color="auto"/>
              <w:right w:val="single" w:sz="4" w:space="0" w:color="auto"/>
            </w:tcBorders>
            <w:shd w:val="clear" w:color="auto" w:fill="auto"/>
            <w:noWrap/>
            <w:vAlign w:val="center"/>
            <w:hideMark/>
          </w:tcPr>
          <w:p w14:paraId="11272FCB"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Latn-BA"/>
              </w:rPr>
              <w:t>186,81</w:t>
            </w:r>
          </w:p>
        </w:tc>
      </w:tr>
      <w:tr w:rsidR="002E51B0" w:rsidRPr="002E51B0" w14:paraId="1AD9D840"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58BB4FE"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2.1</w:t>
            </w:r>
          </w:p>
        </w:tc>
        <w:tc>
          <w:tcPr>
            <w:tcW w:w="3791" w:type="dxa"/>
            <w:tcBorders>
              <w:top w:val="nil"/>
              <w:left w:val="nil"/>
              <w:bottom w:val="single" w:sz="4" w:space="0" w:color="auto"/>
              <w:right w:val="single" w:sz="4" w:space="0" w:color="auto"/>
            </w:tcBorders>
            <w:shd w:val="clear" w:color="auto" w:fill="auto"/>
            <w:noWrap/>
            <w:vAlign w:val="center"/>
            <w:hideMark/>
          </w:tcPr>
          <w:p w14:paraId="6BAB52FB" w14:textId="77777777" w:rsidR="002E51B0" w:rsidRPr="002E51B0" w:rsidRDefault="002E51B0" w:rsidP="002E51B0">
            <w:pPr>
              <w:rPr>
                <w:rFonts w:ascii="Calibri" w:hAnsi="Calibri"/>
                <w:color w:val="auto"/>
                <w:sz w:val="20"/>
                <w:szCs w:val="20"/>
              </w:rPr>
            </w:pPr>
            <w:r w:rsidRPr="002E51B0">
              <w:rPr>
                <w:rFonts w:ascii="Calibri" w:hAnsi="Calibri"/>
                <w:color w:val="auto"/>
                <w:sz w:val="20"/>
                <w:szCs w:val="20"/>
              </w:rPr>
              <w:t>Рачунарска опрема</w:t>
            </w:r>
          </w:p>
        </w:tc>
        <w:tc>
          <w:tcPr>
            <w:tcW w:w="1701" w:type="dxa"/>
            <w:tcBorders>
              <w:top w:val="nil"/>
              <w:left w:val="nil"/>
              <w:bottom w:val="single" w:sz="4" w:space="0" w:color="auto"/>
              <w:right w:val="single" w:sz="4" w:space="0" w:color="auto"/>
            </w:tcBorders>
            <w:shd w:val="clear" w:color="auto" w:fill="auto"/>
            <w:vAlign w:val="center"/>
            <w:hideMark/>
          </w:tcPr>
          <w:p w14:paraId="269B57CD"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30842D9D"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7.960,04</w:t>
            </w:r>
          </w:p>
        </w:tc>
        <w:tc>
          <w:tcPr>
            <w:tcW w:w="992" w:type="dxa"/>
            <w:tcBorders>
              <w:top w:val="nil"/>
              <w:left w:val="nil"/>
              <w:bottom w:val="single" w:sz="4" w:space="0" w:color="auto"/>
              <w:right w:val="single" w:sz="4" w:space="0" w:color="auto"/>
            </w:tcBorders>
            <w:shd w:val="clear" w:color="auto" w:fill="auto"/>
            <w:noWrap/>
            <w:vAlign w:val="center"/>
            <w:hideMark/>
          </w:tcPr>
          <w:p w14:paraId="59D6A737" w14:textId="77777777" w:rsidR="002E51B0" w:rsidRPr="002E51B0" w:rsidRDefault="002E51B0" w:rsidP="002E51B0">
            <w:pPr>
              <w:jc w:val="right"/>
              <w:rPr>
                <w:rFonts w:ascii="Calibri" w:hAnsi="Calibri"/>
                <w:sz w:val="20"/>
                <w:szCs w:val="20"/>
              </w:rPr>
            </w:pPr>
            <w:r w:rsidRPr="002E51B0">
              <w:rPr>
                <w:rFonts w:ascii="Calibri" w:hAnsi="Calibri"/>
                <w:sz w:val="20"/>
                <w:szCs w:val="20"/>
              </w:rPr>
              <w:t>113,71</w:t>
            </w:r>
          </w:p>
        </w:tc>
      </w:tr>
      <w:tr w:rsidR="002E51B0" w:rsidRPr="002E51B0" w14:paraId="49AA5AEE"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249DEFA"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2.2</w:t>
            </w:r>
          </w:p>
        </w:tc>
        <w:tc>
          <w:tcPr>
            <w:tcW w:w="3791" w:type="dxa"/>
            <w:tcBorders>
              <w:top w:val="nil"/>
              <w:left w:val="nil"/>
              <w:bottom w:val="single" w:sz="4" w:space="0" w:color="auto"/>
              <w:right w:val="single" w:sz="4" w:space="0" w:color="auto"/>
            </w:tcBorders>
            <w:shd w:val="clear" w:color="auto" w:fill="auto"/>
            <w:noWrap/>
            <w:vAlign w:val="center"/>
            <w:hideMark/>
          </w:tcPr>
          <w:p w14:paraId="56FBDA7C" w14:textId="77777777" w:rsidR="002E51B0" w:rsidRPr="002E51B0" w:rsidRDefault="002E51B0" w:rsidP="002E51B0">
            <w:pPr>
              <w:rPr>
                <w:rFonts w:ascii="Calibri" w:hAnsi="Calibri"/>
                <w:color w:val="auto"/>
                <w:sz w:val="20"/>
                <w:szCs w:val="20"/>
              </w:rPr>
            </w:pPr>
            <w:r w:rsidRPr="002E51B0">
              <w:rPr>
                <w:rFonts w:ascii="Calibri" w:hAnsi="Calibri"/>
                <w:color w:val="auto"/>
                <w:sz w:val="20"/>
                <w:szCs w:val="20"/>
              </w:rPr>
              <w:t>Телефони</w:t>
            </w:r>
          </w:p>
        </w:tc>
        <w:tc>
          <w:tcPr>
            <w:tcW w:w="1701" w:type="dxa"/>
            <w:tcBorders>
              <w:top w:val="nil"/>
              <w:left w:val="nil"/>
              <w:bottom w:val="single" w:sz="4" w:space="0" w:color="auto"/>
              <w:right w:val="single" w:sz="4" w:space="0" w:color="auto"/>
            </w:tcBorders>
            <w:shd w:val="clear" w:color="auto" w:fill="auto"/>
            <w:vAlign w:val="center"/>
            <w:hideMark/>
          </w:tcPr>
          <w:p w14:paraId="16F9B3B2" w14:textId="77777777" w:rsidR="002E51B0" w:rsidRPr="002E51B0" w:rsidRDefault="002E51B0" w:rsidP="002E51B0">
            <w:pPr>
              <w:jc w:val="right"/>
              <w:rPr>
                <w:rFonts w:ascii="Calibri" w:hAnsi="Calibri"/>
                <w:sz w:val="20"/>
                <w:szCs w:val="20"/>
              </w:rPr>
            </w:pPr>
            <w:r w:rsidRPr="002E51B0">
              <w:rPr>
                <w:rFonts w:ascii="Calibri" w:hAnsi="Calibri"/>
                <w:sz w:val="20"/>
                <w:szCs w:val="20"/>
              </w:rPr>
              <w:t>2.000,00</w:t>
            </w:r>
          </w:p>
        </w:tc>
        <w:tc>
          <w:tcPr>
            <w:tcW w:w="1560" w:type="dxa"/>
            <w:tcBorders>
              <w:top w:val="nil"/>
              <w:left w:val="nil"/>
              <w:bottom w:val="single" w:sz="4" w:space="0" w:color="auto"/>
              <w:right w:val="single" w:sz="4" w:space="0" w:color="auto"/>
            </w:tcBorders>
            <w:shd w:val="clear" w:color="auto" w:fill="auto"/>
            <w:noWrap/>
            <w:vAlign w:val="center"/>
            <w:hideMark/>
          </w:tcPr>
          <w:p w14:paraId="046F75AE"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7.585,00</w:t>
            </w:r>
          </w:p>
        </w:tc>
        <w:tc>
          <w:tcPr>
            <w:tcW w:w="992" w:type="dxa"/>
            <w:tcBorders>
              <w:top w:val="nil"/>
              <w:left w:val="nil"/>
              <w:bottom w:val="single" w:sz="4" w:space="0" w:color="auto"/>
              <w:right w:val="single" w:sz="4" w:space="0" w:color="auto"/>
            </w:tcBorders>
            <w:shd w:val="clear" w:color="auto" w:fill="auto"/>
            <w:noWrap/>
            <w:vAlign w:val="center"/>
            <w:hideMark/>
          </w:tcPr>
          <w:p w14:paraId="430248A9" w14:textId="77777777" w:rsidR="002E51B0" w:rsidRPr="002E51B0" w:rsidRDefault="002E51B0" w:rsidP="002E51B0">
            <w:pPr>
              <w:jc w:val="right"/>
              <w:rPr>
                <w:rFonts w:ascii="Calibri" w:hAnsi="Calibri"/>
                <w:sz w:val="20"/>
                <w:szCs w:val="20"/>
              </w:rPr>
            </w:pPr>
            <w:r w:rsidRPr="002E51B0">
              <w:rPr>
                <w:rFonts w:ascii="Calibri" w:hAnsi="Calibri"/>
                <w:sz w:val="20"/>
                <w:szCs w:val="20"/>
              </w:rPr>
              <w:t>379,25</w:t>
            </w:r>
          </w:p>
        </w:tc>
      </w:tr>
      <w:tr w:rsidR="002E51B0" w:rsidRPr="002E51B0" w14:paraId="650B26D7"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76F26A4"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2.3</w:t>
            </w:r>
          </w:p>
        </w:tc>
        <w:tc>
          <w:tcPr>
            <w:tcW w:w="3791" w:type="dxa"/>
            <w:tcBorders>
              <w:top w:val="nil"/>
              <w:left w:val="nil"/>
              <w:bottom w:val="single" w:sz="4" w:space="0" w:color="auto"/>
              <w:right w:val="single" w:sz="4" w:space="0" w:color="auto"/>
            </w:tcBorders>
            <w:shd w:val="clear" w:color="auto" w:fill="auto"/>
            <w:noWrap/>
            <w:vAlign w:val="center"/>
            <w:hideMark/>
          </w:tcPr>
          <w:p w14:paraId="6E2A34AC" w14:textId="77777777" w:rsidR="002E51B0" w:rsidRPr="002E51B0" w:rsidRDefault="002E51B0" w:rsidP="002E51B0">
            <w:pPr>
              <w:rPr>
                <w:rFonts w:ascii="Calibri" w:hAnsi="Calibri"/>
                <w:color w:val="auto"/>
                <w:sz w:val="20"/>
                <w:szCs w:val="20"/>
              </w:rPr>
            </w:pPr>
            <w:r w:rsidRPr="002E51B0">
              <w:rPr>
                <w:rFonts w:ascii="Calibri" w:hAnsi="Calibri"/>
                <w:color w:val="auto"/>
                <w:sz w:val="20"/>
                <w:szCs w:val="20"/>
              </w:rPr>
              <w:t>Остало</w:t>
            </w:r>
          </w:p>
        </w:tc>
        <w:tc>
          <w:tcPr>
            <w:tcW w:w="1701" w:type="dxa"/>
            <w:tcBorders>
              <w:top w:val="nil"/>
              <w:left w:val="nil"/>
              <w:bottom w:val="single" w:sz="4" w:space="0" w:color="auto"/>
              <w:right w:val="single" w:sz="4" w:space="0" w:color="auto"/>
            </w:tcBorders>
            <w:shd w:val="clear" w:color="auto" w:fill="auto"/>
            <w:vAlign w:val="center"/>
            <w:hideMark/>
          </w:tcPr>
          <w:p w14:paraId="6433952E"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c>
          <w:tcPr>
            <w:tcW w:w="1560" w:type="dxa"/>
            <w:tcBorders>
              <w:top w:val="nil"/>
              <w:left w:val="nil"/>
              <w:bottom w:val="single" w:sz="4" w:space="0" w:color="auto"/>
              <w:right w:val="single" w:sz="4" w:space="0" w:color="auto"/>
            </w:tcBorders>
            <w:shd w:val="clear" w:color="auto" w:fill="auto"/>
            <w:noWrap/>
            <w:vAlign w:val="center"/>
            <w:hideMark/>
          </w:tcPr>
          <w:p w14:paraId="29EEF8BA"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1.267,63</w:t>
            </w:r>
          </w:p>
        </w:tc>
        <w:tc>
          <w:tcPr>
            <w:tcW w:w="992" w:type="dxa"/>
            <w:tcBorders>
              <w:top w:val="nil"/>
              <w:left w:val="nil"/>
              <w:bottom w:val="single" w:sz="4" w:space="0" w:color="auto"/>
              <w:right w:val="single" w:sz="4" w:space="0" w:color="auto"/>
            </w:tcBorders>
            <w:shd w:val="clear" w:color="auto" w:fill="auto"/>
            <w:noWrap/>
            <w:vAlign w:val="center"/>
            <w:hideMark/>
          </w:tcPr>
          <w:p w14:paraId="4FC8CA71"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 </w:t>
            </w:r>
          </w:p>
        </w:tc>
      </w:tr>
      <w:tr w:rsidR="002E51B0" w:rsidRPr="002E51B0" w14:paraId="22234060"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7DE057B"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lang w:val="sr-Cyrl-BA"/>
              </w:rPr>
              <w:t>3.</w:t>
            </w:r>
          </w:p>
        </w:tc>
        <w:tc>
          <w:tcPr>
            <w:tcW w:w="3791" w:type="dxa"/>
            <w:tcBorders>
              <w:top w:val="nil"/>
              <w:left w:val="nil"/>
              <w:bottom w:val="single" w:sz="4" w:space="0" w:color="auto"/>
              <w:right w:val="single" w:sz="4" w:space="0" w:color="auto"/>
            </w:tcBorders>
            <w:shd w:val="clear" w:color="auto" w:fill="auto"/>
            <w:noWrap/>
            <w:vAlign w:val="center"/>
            <w:hideMark/>
          </w:tcPr>
          <w:p w14:paraId="1B8537CC" w14:textId="77777777" w:rsidR="002E51B0" w:rsidRPr="002E51B0" w:rsidRDefault="002E51B0" w:rsidP="002E51B0">
            <w:pPr>
              <w:rPr>
                <w:rFonts w:ascii="Calibri" w:hAnsi="Calibri"/>
                <w:b/>
                <w:bCs/>
                <w:color w:val="auto"/>
                <w:sz w:val="20"/>
                <w:szCs w:val="20"/>
              </w:rPr>
            </w:pPr>
            <w:r w:rsidRPr="002E51B0">
              <w:rPr>
                <w:rFonts w:ascii="Calibri" w:hAnsi="Calibri"/>
                <w:b/>
                <w:bCs/>
                <w:color w:val="auto"/>
                <w:sz w:val="20"/>
                <w:szCs w:val="20"/>
                <w:lang w:val="sr-Cyrl-BA"/>
              </w:rPr>
              <w:t xml:space="preserve">Програмска подршка </w:t>
            </w:r>
          </w:p>
        </w:tc>
        <w:tc>
          <w:tcPr>
            <w:tcW w:w="1701" w:type="dxa"/>
            <w:tcBorders>
              <w:top w:val="nil"/>
              <w:left w:val="nil"/>
              <w:bottom w:val="single" w:sz="4" w:space="0" w:color="auto"/>
              <w:right w:val="single" w:sz="4" w:space="0" w:color="auto"/>
            </w:tcBorders>
            <w:shd w:val="clear" w:color="auto" w:fill="auto"/>
            <w:vAlign w:val="center"/>
            <w:hideMark/>
          </w:tcPr>
          <w:p w14:paraId="60BA472D"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26.950,00</w:t>
            </w:r>
          </w:p>
        </w:tc>
        <w:tc>
          <w:tcPr>
            <w:tcW w:w="1560" w:type="dxa"/>
            <w:tcBorders>
              <w:top w:val="nil"/>
              <w:left w:val="nil"/>
              <w:bottom w:val="single" w:sz="4" w:space="0" w:color="auto"/>
              <w:right w:val="single" w:sz="4" w:space="0" w:color="auto"/>
            </w:tcBorders>
            <w:shd w:val="clear" w:color="auto" w:fill="auto"/>
            <w:vAlign w:val="center"/>
            <w:hideMark/>
          </w:tcPr>
          <w:p w14:paraId="654980C8"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8.979,46</w:t>
            </w:r>
          </w:p>
        </w:tc>
        <w:tc>
          <w:tcPr>
            <w:tcW w:w="992" w:type="dxa"/>
            <w:tcBorders>
              <w:top w:val="nil"/>
              <w:left w:val="nil"/>
              <w:bottom w:val="single" w:sz="4" w:space="0" w:color="auto"/>
              <w:right w:val="single" w:sz="4" w:space="0" w:color="auto"/>
            </w:tcBorders>
            <w:shd w:val="clear" w:color="auto" w:fill="auto"/>
            <w:noWrap/>
            <w:vAlign w:val="center"/>
            <w:hideMark/>
          </w:tcPr>
          <w:p w14:paraId="4FDE6706"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Cyrl-BA"/>
              </w:rPr>
              <w:t>33,32</w:t>
            </w:r>
          </w:p>
        </w:tc>
      </w:tr>
      <w:tr w:rsidR="002E51B0" w:rsidRPr="002E51B0" w14:paraId="6FE937C0" w14:textId="77777777" w:rsidTr="002E51B0">
        <w:trPr>
          <w:trHeight w:val="51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D696BA1"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3.1.</w:t>
            </w:r>
          </w:p>
        </w:tc>
        <w:tc>
          <w:tcPr>
            <w:tcW w:w="3791" w:type="dxa"/>
            <w:tcBorders>
              <w:top w:val="nil"/>
              <w:left w:val="nil"/>
              <w:bottom w:val="single" w:sz="4" w:space="0" w:color="auto"/>
              <w:right w:val="single" w:sz="4" w:space="0" w:color="auto"/>
            </w:tcBorders>
            <w:shd w:val="clear" w:color="auto" w:fill="auto"/>
            <w:noWrap/>
            <w:vAlign w:val="center"/>
            <w:hideMark/>
          </w:tcPr>
          <w:p w14:paraId="1052E7A4" w14:textId="77777777" w:rsidR="002E51B0" w:rsidRPr="002E51B0" w:rsidRDefault="002E51B0" w:rsidP="005D0BE8">
            <w:pPr>
              <w:jc w:val="left"/>
              <w:rPr>
                <w:rFonts w:ascii="Calibri" w:hAnsi="Calibri"/>
                <w:sz w:val="20"/>
                <w:szCs w:val="20"/>
              </w:rPr>
            </w:pPr>
            <w:r w:rsidRPr="002E51B0">
              <w:rPr>
                <w:rFonts w:ascii="Calibri" w:hAnsi="Calibri"/>
                <w:sz w:val="20"/>
                <w:szCs w:val="20"/>
                <w:lang w:val="sr-Cyrl-BA"/>
              </w:rPr>
              <w:t xml:space="preserve">Услуге дораде апликативног софтвера гаранција </w:t>
            </w:r>
          </w:p>
        </w:tc>
        <w:tc>
          <w:tcPr>
            <w:tcW w:w="1701" w:type="dxa"/>
            <w:tcBorders>
              <w:top w:val="nil"/>
              <w:left w:val="nil"/>
              <w:bottom w:val="single" w:sz="4" w:space="0" w:color="auto"/>
              <w:right w:val="single" w:sz="4" w:space="0" w:color="auto"/>
            </w:tcBorders>
            <w:shd w:val="clear" w:color="auto" w:fill="auto"/>
            <w:vAlign w:val="center"/>
            <w:hideMark/>
          </w:tcPr>
          <w:p w14:paraId="578D447C" w14:textId="77777777" w:rsidR="002E51B0" w:rsidRPr="002E51B0" w:rsidRDefault="002E51B0" w:rsidP="002E51B0">
            <w:pPr>
              <w:jc w:val="right"/>
              <w:rPr>
                <w:rFonts w:ascii="Calibri" w:hAnsi="Calibri"/>
                <w:sz w:val="20"/>
                <w:szCs w:val="20"/>
              </w:rPr>
            </w:pPr>
            <w:r w:rsidRPr="002E51B0">
              <w:rPr>
                <w:rFonts w:ascii="Calibri" w:hAnsi="Calibri"/>
                <w:sz w:val="20"/>
                <w:szCs w:val="20"/>
                <w:lang w:val="sr-Cyrl-BA"/>
              </w:rPr>
              <w:t>5.000,00</w:t>
            </w:r>
          </w:p>
        </w:tc>
        <w:tc>
          <w:tcPr>
            <w:tcW w:w="1560" w:type="dxa"/>
            <w:tcBorders>
              <w:top w:val="nil"/>
              <w:left w:val="nil"/>
              <w:bottom w:val="single" w:sz="4" w:space="0" w:color="auto"/>
              <w:right w:val="single" w:sz="4" w:space="0" w:color="auto"/>
            </w:tcBorders>
            <w:shd w:val="clear" w:color="auto" w:fill="auto"/>
            <w:noWrap/>
            <w:vAlign w:val="center"/>
            <w:hideMark/>
          </w:tcPr>
          <w:p w14:paraId="618934F1"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1.263,60</w:t>
            </w:r>
          </w:p>
        </w:tc>
        <w:tc>
          <w:tcPr>
            <w:tcW w:w="992" w:type="dxa"/>
            <w:tcBorders>
              <w:top w:val="nil"/>
              <w:left w:val="nil"/>
              <w:bottom w:val="single" w:sz="4" w:space="0" w:color="auto"/>
              <w:right w:val="single" w:sz="4" w:space="0" w:color="auto"/>
            </w:tcBorders>
            <w:shd w:val="clear" w:color="auto" w:fill="auto"/>
            <w:noWrap/>
            <w:vAlign w:val="center"/>
            <w:hideMark/>
          </w:tcPr>
          <w:p w14:paraId="67C0F0F8" w14:textId="77777777" w:rsidR="002E51B0" w:rsidRPr="002E51B0" w:rsidRDefault="002E51B0" w:rsidP="002E51B0">
            <w:pPr>
              <w:jc w:val="right"/>
              <w:rPr>
                <w:rFonts w:ascii="Calibri" w:hAnsi="Calibri"/>
                <w:sz w:val="20"/>
                <w:szCs w:val="20"/>
              </w:rPr>
            </w:pPr>
            <w:r w:rsidRPr="002E51B0">
              <w:rPr>
                <w:rFonts w:ascii="Calibri" w:hAnsi="Calibri"/>
                <w:sz w:val="20"/>
                <w:szCs w:val="20"/>
                <w:lang w:val="sr-Cyrl-CS"/>
              </w:rPr>
              <w:t>25,27</w:t>
            </w:r>
          </w:p>
        </w:tc>
      </w:tr>
      <w:tr w:rsidR="002E51B0" w:rsidRPr="002E51B0" w14:paraId="0EB969FC" w14:textId="77777777" w:rsidTr="002E51B0">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0CC2E6"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3.2</w:t>
            </w:r>
          </w:p>
        </w:tc>
        <w:tc>
          <w:tcPr>
            <w:tcW w:w="3791" w:type="dxa"/>
            <w:tcBorders>
              <w:top w:val="nil"/>
              <w:left w:val="nil"/>
              <w:bottom w:val="single" w:sz="4" w:space="0" w:color="auto"/>
              <w:right w:val="single" w:sz="4" w:space="0" w:color="auto"/>
            </w:tcBorders>
            <w:shd w:val="clear" w:color="auto" w:fill="auto"/>
            <w:noWrap/>
            <w:vAlign w:val="center"/>
            <w:hideMark/>
          </w:tcPr>
          <w:p w14:paraId="419DDF06" w14:textId="77777777" w:rsidR="002E51B0" w:rsidRPr="002E51B0" w:rsidRDefault="002E51B0" w:rsidP="005D0BE8">
            <w:pPr>
              <w:jc w:val="left"/>
              <w:rPr>
                <w:rFonts w:ascii="Calibri" w:hAnsi="Calibri"/>
                <w:sz w:val="20"/>
                <w:szCs w:val="20"/>
              </w:rPr>
            </w:pPr>
            <w:r w:rsidRPr="002E51B0">
              <w:rPr>
                <w:rFonts w:ascii="Calibri" w:hAnsi="Calibri"/>
                <w:sz w:val="20"/>
                <w:szCs w:val="20"/>
                <w:lang w:val="sr-Cyrl-BA"/>
              </w:rPr>
              <w:t>Надоградња софтвера гаранција модулом гаранција за ХОВ</w:t>
            </w:r>
          </w:p>
        </w:tc>
        <w:tc>
          <w:tcPr>
            <w:tcW w:w="1701" w:type="dxa"/>
            <w:tcBorders>
              <w:top w:val="nil"/>
              <w:left w:val="nil"/>
              <w:bottom w:val="single" w:sz="4" w:space="0" w:color="auto"/>
              <w:right w:val="single" w:sz="4" w:space="0" w:color="auto"/>
            </w:tcBorders>
            <w:shd w:val="clear" w:color="auto" w:fill="auto"/>
            <w:vAlign w:val="center"/>
            <w:hideMark/>
          </w:tcPr>
          <w:p w14:paraId="6081D17A"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6F4E2F87"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258231B3"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1D677E63" w14:textId="77777777" w:rsidTr="002E51B0">
        <w:trPr>
          <w:trHeight w:val="79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23A6BC"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3.3</w:t>
            </w:r>
          </w:p>
        </w:tc>
        <w:tc>
          <w:tcPr>
            <w:tcW w:w="3791" w:type="dxa"/>
            <w:tcBorders>
              <w:top w:val="nil"/>
              <w:left w:val="nil"/>
              <w:bottom w:val="single" w:sz="4" w:space="0" w:color="auto"/>
              <w:right w:val="single" w:sz="4" w:space="0" w:color="auto"/>
            </w:tcBorders>
            <w:shd w:val="clear" w:color="auto" w:fill="auto"/>
            <w:noWrap/>
            <w:vAlign w:val="center"/>
            <w:hideMark/>
          </w:tcPr>
          <w:p w14:paraId="44C0715C" w14:textId="77777777" w:rsidR="002E51B0" w:rsidRPr="002E51B0" w:rsidRDefault="002E51B0" w:rsidP="005D0BE8">
            <w:pPr>
              <w:jc w:val="left"/>
              <w:rPr>
                <w:rFonts w:ascii="Calibri" w:hAnsi="Calibri"/>
                <w:sz w:val="20"/>
                <w:szCs w:val="20"/>
              </w:rPr>
            </w:pPr>
            <w:r w:rsidRPr="002E51B0">
              <w:rPr>
                <w:rFonts w:ascii="Calibri" w:hAnsi="Calibri"/>
                <w:sz w:val="20"/>
                <w:szCs w:val="20"/>
                <w:lang w:val="sr-Cyrl-BA"/>
              </w:rPr>
              <w:t>Надоградња софтве</w:t>
            </w:r>
            <w:r w:rsidR="005B6F87">
              <w:rPr>
                <w:rFonts w:ascii="Calibri" w:hAnsi="Calibri"/>
                <w:sz w:val="20"/>
                <w:szCs w:val="20"/>
                <w:lang w:val="sr-Cyrl-BA"/>
              </w:rPr>
              <w:t>ра гаранција модулом за портфељ</w:t>
            </w:r>
            <w:r w:rsidRPr="002E51B0">
              <w:rPr>
                <w:rFonts w:ascii="Calibri" w:hAnsi="Calibri"/>
                <w:sz w:val="20"/>
                <w:szCs w:val="20"/>
                <w:lang w:val="sr-Cyrl-BA"/>
              </w:rPr>
              <w:t xml:space="preserve">  за енергетску ефикасност</w:t>
            </w:r>
          </w:p>
        </w:tc>
        <w:tc>
          <w:tcPr>
            <w:tcW w:w="1701" w:type="dxa"/>
            <w:tcBorders>
              <w:top w:val="nil"/>
              <w:left w:val="nil"/>
              <w:bottom w:val="single" w:sz="4" w:space="0" w:color="auto"/>
              <w:right w:val="single" w:sz="4" w:space="0" w:color="auto"/>
            </w:tcBorders>
            <w:shd w:val="clear" w:color="auto" w:fill="auto"/>
            <w:vAlign w:val="center"/>
            <w:hideMark/>
          </w:tcPr>
          <w:p w14:paraId="25C9A207"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4359A495"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7.020,00</w:t>
            </w:r>
          </w:p>
        </w:tc>
        <w:tc>
          <w:tcPr>
            <w:tcW w:w="992" w:type="dxa"/>
            <w:tcBorders>
              <w:top w:val="nil"/>
              <w:left w:val="nil"/>
              <w:bottom w:val="single" w:sz="4" w:space="0" w:color="auto"/>
              <w:right w:val="single" w:sz="4" w:space="0" w:color="auto"/>
            </w:tcBorders>
            <w:shd w:val="clear" w:color="auto" w:fill="auto"/>
            <w:noWrap/>
            <w:vAlign w:val="center"/>
            <w:hideMark/>
          </w:tcPr>
          <w:p w14:paraId="610BD140" w14:textId="77777777" w:rsidR="002E51B0" w:rsidRPr="002E51B0" w:rsidRDefault="002E51B0" w:rsidP="002E51B0">
            <w:pPr>
              <w:jc w:val="right"/>
              <w:rPr>
                <w:rFonts w:ascii="Calibri" w:hAnsi="Calibri"/>
                <w:sz w:val="20"/>
                <w:szCs w:val="20"/>
              </w:rPr>
            </w:pPr>
            <w:r w:rsidRPr="002E51B0">
              <w:rPr>
                <w:rFonts w:ascii="Calibri" w:hAnsi="Calibri"/>
                <w:sz w:val="20"/>
                <w:szCs w:val="20"/>
              </w:rPr>
              <w:t>100,29</w:t>
            </w:r>
          </w:p>
        </w:tc>
      </w:tr>
      <w:tr w:rsidR="002E51B0" w:rsidRPr="002E51B0" w14:paraId="75406B0F" w14:textId="77777777" w:rsidTr="002E51B0">
        <w:trPr>
          <w:trHeight w:val="76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668524A"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3.4</w:t>
            </w:r>
          </w:p>
        </w:tc>
        <w:tc>
          <w:tcPr>
            <w:tcW w:w="3791" w:type="dxa"/>
            <w:tcBorders>
              <w:top w:val="nil"/>
              <w:left w:val="nil"/>
              <w:bottom w:val="single" w:sz="4" w:space="0" w:color="auto"/>
              <w:right w:val="single" w:sz="4" w:space="0" w:color="auto"/>
            </w:tcBorders>
            <w:shd w:val="clear" w:color="auto" w:fill="auto"/>
            <w:noWrap/>
            <w:vAlign w:val="center"/>
            <w:hideMark/>
          </w:tcPr>
          <w:p w14:paraId="0B29AED0" w14:textId="77777777" w:rsidR="002E51B0" w:rsidRPr="002E51B0" w:rsidRDefault="002E51B0" w:rsidP="005D0BE8">
            <w:pPr>
              <w:jc w:val="left"/>
              <w:rPr>
                <w:rFonts w:ascii="Calibri" w:hAnsi="Calibri"/>
                <w:sz w:val="20"/>
                <w:szCs w:val="20"/>
              </w:rPr>
            </w:pPr>
            <w:r w:rsidRPr="002E51B0">
              <w:rPr>
                <w:rFonts w:ascii="Calibri" w:hAnsi="Calibri"/>
                <w:sz w:val="20"/>
                <w:szCs w:val="20"/>
              </w:rPr>
              <w:t>Израда софтвера  за протокол и управљање документационом грађом</w:t>
            </w:r>
          </w:p>
        </w:tc>
        <w:tc>
          <w:tcPr>
            <w:tcW w:w="1701" w:type="dxa"/>
            <w:tcBorders>
              <w:top w:val="nil"/>
              <w:left w:val="nil"/>
              <w:bottom w:val="single" w:sz="4" w:space="0" w:color="auto"/>
              <w:right w:val="single" w:sz="4" w:space="0" w:color="auto"/>
            </w:tcBorders>
            <w:shd w:val="clear" w:color="auto" w:fill="auto"/>
            <w:vAlign w:val="center"/>
            <w:hideMark/>
          </w:tcPr>
          <w:p w14:paraId="59241171" w14:textId="77777777" w:rsidR="002E51B0" w:rsidRPr="002E51B0" w:rsidRDefault="002E51B0" w:rsidP="002E51B0">
            <w:pPr>
              <w:jc w:val="right"/>
              <w:rPr>
                <w:rFonts w:ascii="Calibri" w:hAnsi="Calibri"/>
                <w:sz w:val="20"/>
                <w:szCs w:val="20"/>
              </w:rPr>
            </w:pPr>
            <w:r w:rsidRPr="002E51B0">
              <w:rPr>
                <w:rFonts w:ascii="Calibri" w:hAnsi="Calibri"/>
                <w:sz w:val="20"/>
                <w:szCs w:val="20"/>
              </w:rPr>
              <w:t>6.000,00</w:t>
            </w:r>
          </w:p>
        </w:tc>
        <w:tc>
          <w:tcPr>
            <w:tcW w:w="1560" w:type="dxa"/>
            <w:tcBorders>
              <w:top w:val="nil"/>
              <w:left w:val="nil"/>
              <w:bottom w:val="single" w:sz="4" w:space="0" w:color="auto"/>
              <w:right w:val="single" w:sz="4" w:space="0" w:color="auto"/>
            </w:tcBorders>
            <w:shd w:val="clear" w:color="auto" w:fill="auto"/>
            <w:noWrap/>
            <w:vAlign w:val="center"/>
            <w:hideMark/>
          </w:tcPr>
          <w:p w14:paraId="57BDF883"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2DF398FA"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57930B1B"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3582026"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lang w:val="sr-Cyrl-BA"/>
              </w:rPr>
              <w:t>3.5</w:t>
            </w:r>
          </w:p>
        </w:tc>
        <w:tc>
          <w:tcPr>
            <w:tcW w:w="3791" w:type="dxa"/>
            <w:tcBorders>
              <w:top w:val="nil"/>
              <w:left w:val="nil"/>
              <w:bottom w:val="single" w:sz="4" w:space="0" w:color="auto"/>
              <w:right w:val="single" w:sz="4" w:space="0" w:color="auto"/>
            </w:tcBorders>
            <w:shd w:val="clear" w:color="auto" w:fill="auto"/>
            <w:noWrap/>
            <w:vAlign w:val="center"/>
            <w:hideMark/>
          </w:tcPr>
          <w:p w14:paraId="26D63BD5" w14:textId="77777777" w:rsidR="002E51B0" w:rsidRPr="002E51B0" w:rsidRDefault="002E51B0" w:rsidP="005D0BE8">
            <w:pPr>
              <w:jc w:val="left"/>
              <w:rPr>
                <w:rFonts w:ascii="Calibri" w:hAnsi="Calibri"/>
                <w:color w:val="auto"/>
                <w:sz w:val="20"/>
                <w:szCs w:val="20"/>
              </w:rPr>
            </w:pPr>
            <w:r w:rsidRPr="002E51B0">
              <w:rPr>
                <w:rFonts w:ascii="Calibri" w:hAnsi="Calibri"/>
                <w:color w:val="auto"/>
                <w:sz w:val="20"/>
                <w:szCs w:val="20"/>
                <w:lang w:val="sr-Cyrl-BA"/>
              </w:rPr>
              <w:t>Антивирус лиценце</w:t>
            </w:r>
          </w:p>
        </w:tc>
        <w:tc>
          <w:tcPr>
            <w:tcW w:w="1701" w:type="dxa"/>
            <w:tcBorders>
              <w:top w:val="nil"/>
              <w:left w:val="nil"/>
              <w:bottom w:val="single" w:sz="4" w:space="0" w:color="auto"/>
              <w:right w:val="single" w:sz="4" w:space="0" w:color="auto"/>
            </w:tcBorders>
            <w:shd w:val="clear" w:color="auto" w:fill="auto"/>
            <w:vAlign w:val="center"/>
            <w:hideMark/>
          </w:tcPr>
          <w:p w14:paraId="03C20EAF" w14:textId="77777777" w:rsidR="002E51B0" w:rsidRPr="002E51B0" w:rsidRDefault="002E51B0" w:rsidP="002E51B0">
            <w:pPr>
              <w:jc w:val="right"/>
              <w:rPr>
                <w:rFonts w:ascii="Calibri" w:hAnsi="Calibri"/>
                <w:sz w:val="20"/>
                <w:szCs w:val="20"/>
              </w:rPr>
            </w:pPr>
            <w:r w:rsidRPr="002E51B0">
              <w:rPr>
                <w:rFonts w:ascii="Calibri" w:hAnsi="Calibri"/>
                <w:sz w:val="20"/>
                <w:szCs w:val="20"/>
              </w:rPr>
              <w:t>750,00</w:t>
            </w:r>
          </w:p>
        </w:tc>
        <w:tc>
          <w:tcPr>
            <w:tcW w:w="1560" w:type="dxa"/>
            <w:tcBorders>
              <w:top w:val="nil"/>
              <w:left w:val="nil"/>
              <w:bottom w:val="single" w:sz="4" w:space="0" w:color="auto"/>
              <w:right w:val="single" w:sz="4" w:space="0" w:color="auto"/>
            </w:tcBorders>
            <w:shd w:val="clear" w:color="auto" w:fill="auto"/>
            <w:noWrap/>
            <w:vAlign w:val="center"/>
            <w:hideMark/>
          </w:tcPr>
          <w:p w14:paraId="46B9FACF"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695,86</w:t>
            </w:r>
          </w:p>
        </w:tc>
        <w:tc>
          <w:tcPr>
            <w:tcW w:w="992" w:type="dxa"/>
            <w:tcBorders>
              <w:top w:val="nil"/>
              <w:left w:val="nil"/>
              <w:bottom w:val="single" w:sz="4" w:space="0" w:color="auto"/>
              <w:right w:val="single" w:sz="4" w:space="0" w:color="auto"/>
            </w:tcBorders>
            <w:shd w:val="clear" w:color="auto" w:fill="auto"/>
            <w:noWrap/>
            <w:vAlign w:val="center"/>
            <w:hideMark/>
          </w:tcPr>
          <w:p w14:paraId="67D7A99E" w14:textId="77777777" w:rsidR="002E51B0" w:rsidRPr="002E51B0" w:rsidRDefault="002E51B0" w:rsidP="002E51B0">
            <w:pPr>
              <w:jc w:val="right"/>
              <w:rPr>
                <w:rFonts w:ascii="Calibri" w:hAnsi="Calibri"/>
                <w:sz w:val="20"/>
                <w:szCs w:val="20"/>
              </w:rPr>
            </w:pPr>
            <w:r w:rsidRPr="002E51B0">
              <w:rPr>
                <w:rFonts w:ascii="Calibri" w:hAnsi="Calibri"/>
                <w:sz w:val="20"/>
                <w:szCs w:val="20"/>
                <w:lang w:val="sr-Cyrl-BA"/>
              </w:rPr>
              <w:t>92,78</w:t>
            </w:r>
          </w:p>
        </w:tc>
      </w:tr>
      <w:tr w:rsidR="002E51B0" w:rsidRPr="002E51B0" w14:paraId="0633E9D8" w14:textId="77777777" w:rsidTr="002E51B0">
        <w:trPr>
          <w:trHeight w:val="4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F1DFC8D"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lang w:val="sr-Cyrl-BA"/>
              </w:rPr>
              <w:t>3.6</w:t>
            </w:r>
          </w:p>
        </w:tc>
        <w:tc>
          <w:tcPr>
            <w:tcW w:w="3791" w:type="dxa"/>
            <w:tcBorders>
              <w:top w:val="nil"/>
              <w:left w:val="nil"/>
              <w:bottom w:val="single" w:sz="4" w:space="0" w:color="auto"/>
              <w:right w:val="single" w:sz="4" w:space="0" w:color="auto"/>
            </w:tcBorders>
            <w:shd w:val="clear" w:color="auto" w:fill="auto"/>
            <w:noWrap/>
            <w:vAlign w:val="center"/>
            <w:hideMark/>
          </w:tcPr>
          <w:p w14:paraId="7C6E7CB8" w14:textId="77777777" w:rsidR="002E51B0" w:rsidRPr="002E51B0" w:rsidRDefault="002E51B0" w:rsidP="005D0BE8">
            <w:pPr>
              <w:jc w:val="left"/>
              <w:rPr>
                <w:rFonts w:ascii="Calibri" w:hAnsi="Calibri"/>
                <w:color w:val="auto"/>
                <w:sz w:val="20"/>
                <w:szCs w:val="20"/>
              </w:rPr>
            </w:pPr>
            <w:r w:rsidRPr="002E51B0">
              <w:rPr>
                <w:rFonts w:ascii="Calibri" w:hAnsi="Calibri"/>
                <w:color w:val="auto"/>
                <w:sz w:val="20"/>
                <w:szCs w:val="20"/>
              </w:rPr>
              <w:t xml:space="preserve">SQL сервер лиценца </w:t>
            </w:r>
          </w:p>
        </w:tc>
        <w:tc>
          <w:tcPr>
            <w:tcW w:w="1701" w:type="dxa"/>
            <w:tcBorders>
              <w:top w:val="nil"/>
              <w:left w:val="nil"/>
              <w:bottom w:val="single" w:sz="4" w:space="0" w:color="auto"/>
              <w:right w:val="single" w:sz="4" w:space="0" w:color="auto"/>
            </w:tcBorders>
            <w:shd w:val="clear" w:color="auto" w:fill="auto"/>
            <w:vAlign w:val="center"/>
            <w:hideMark/>
          </w:tcPr>
          <w:p w14:paraId="35B39455" w14:textId="77777777" w:rsidR="002E51B0" w:rsidRPr="002E51B0" w:rsidRDefault="002E51B0" w:rsidP="002E51B0">
            <w:pPr>
              <w:jc w:val="right"/>
              <w:rPr>
                <w:rFonts w:ascii="Calibri" w:hAnsi="Calibri"/>
                <w:sz w:val="20"/>
                <w:szCs w:val="20"/>
              </w:rPr>
            </w:pPr>
            <w:r w:rsidRPr="002E51B0">
              <w:rPr>
                <w:rFonts w:ascii="Calibri" w:hAnsi="Calibri"/>
                <w:sz w:val="20"/>
                <w:szCs w:val="20"/>
                <w:lang w:val="sr-Cyrl-BA"/>
              </w:rPr>
              <w:t>1.200,00</w:t>
            </w:r>
          </w:p>
        </w:tc>
        <w:tc>
          <w:tcPr>
            <w:tcW w:w="1560" w:type="dxa"/>
            <w:tcBorders>
              <w:top w:val="nil"/>
              <w:left w:val="nil"/>
              <w:bottom w:val="single" w:sz="4" w:space="0" w:color="auto"/>
              <w:right w:val="single" w:sz="4" w:space="0" w:color="auto"/>
            </w:tcBorders>
            <w:shd w:val="clear" w:color="auto" w:fill="auto"/>
            <w:noWrap/>
            <w:vAlign w:val="center"/>
            <w:hideMark/>
          </w:tcPr>
          <w:p w14:paraId="454E5386"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68E722EE"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657B8DE1" w14:textId="77777777" w:rsidTr="002E51B0">
        <w:trPr>
          <w:trHeight w:val="315"/>
        </w:trPr>
        <w:tc>
          <w:tcPr>
            <w:tcW w:w="4551"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109EADBB"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lang w:val="sr-Cyrl-BA"/>
              </w:rPr>
              <w:t>УКУПНО</w:t>
            </w:r>
          </w:p>
        </w:tc>
        <w:tc>
          <w:tcPr>
            <w:tcW w:w="1701" w:type="dxa"/>
            <w:tcBorders>
              <w:top w:val="nil"/>
              <w:left w:val="nil"/>
              <w:bottom w:val="single" w:sz="4" w:space="0" w:color="auto"/>
              <w:right w:val="single" w:sz="4" w:space="0" w:color="auto"/>
            </w:tcBorders>
            <w:shd w:val="clear" w:color="000000" w:fill="8DB4E2"/>
            <w:vAlign w:val="center"/>
            <w:hideMark/>
          </w:tcPr>
          <w:p w14:paraId="327BA37E"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Latn-BA"/>
              </w:rPr>
              <w:t>36.950,00</w:t>
            </w:r>
          </w:p>
        </w:tc>
        <w:tc>
          <w:tcPr>
            <w:tcW w:w="1560" w:type="dxa"/>
            <w:tcBorders>
              <w:top w:val="nil"/>
              <w:left w:val="nil"/>
              <w:bottom w:val="single" w:sz="4" w:space="0" w:color="auto"/>
              <w:right w:val="single" w:sz="4" w:space="0" w:color="auto"/>
            </w:tcBorders>
            <w:shd w:val="clear" w:color="000000" w:fill="8DB4E2"/>
            <w:vAlign w:val="center"/>
            <w:hideMark/>
          </w:tcPr>
          <w:p w14:paraId="4C3BFA54"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Cyrl-BA"/>
              </w:rPr>
              <w:t>42.604,80</w:t>
            </w:r>
          </w:p>
        </w:tc>
        <w:tc>
          <w:tcPr>
            <w:tcW w:w="992" w:type="dxa"/>
            <w:tcBorders>
              <w:top w:val="nil"/>
              <w:left w:val="nil"/>
              <w:bottom w:val="single" w:sz="4" w:space="0" w:color="auto"/>
              <w:right w:val="single" w:sz="4" w:space="0" w:color="auto"/>
            </w:tcBorders>
            <w:shd w:val="clear" w:color="000000" w:fill="8DB4E2"/>
            <w:noWrap/>
            <w:vAlign w:val="center"/>
            <w:hideMark/>
          </w:tcPr>
          <w:p w14:paraId="33FF5563"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lang w:val="sr-Latn-BA"/>
              </w:rPr>
              <w:t>115,30</w:t>
            </w:r>
          </w:p>
        </w:tc>
      </w:tr>
    </w:tbl>
    <w:p w14:paraId="4FFEE58D" w14:textId="77777777" w:rsidR="001538EF" w:rsidRPr="005767EF" w:rsidRDefault="001538EF" w:rsidP="001538EF">
      <w:pPr>
        <w:spacing w:after="200" w:line="276" w:lineRule="auto"/>
        <w:jc w:val="left"/>
        <w:rPr>
          <w:rFonts w:asciiTheme="minorHAnsi" w:hAnsiTheme="minorHAnsi"/>
          <w:sz w:val="20"/>
          <w:szCs w:val="20"/>
          <w:lang w:val="sr-Cyrl-BA" w:eastAsia="sr-Cyrl-CS"/>
        </w:rPr>
      </w:pPr>
      <w:r w:rsidRPr="005767EF">
        <w:rPr>
          <w:rFonts w:asciiTheme="minorHAnsi" w:hAnsiTheme="minorHAnsi"/>
          <w:sz w:val="20"/>
          <w:szCs w:val="20"/>
          <w:lang w:val="sr-Cyrl-BA" w:eastAsia="sr-Cyrl-CS"/>
        </w:rPr>
        <w:br w:type="page"/>
      </w:r>
    </w:p>
    <w:p w14:paraId="00B932E2" w14:textId="77777777" w:rsidR="001538EF" w:rsidRPr="005767EF" w:rsidRDefault="001538EF" w:rsidP="001538EF">
      <w:pPr>
        <w:rPr>
          <w:rFonts w:asciiTheme="minorHAnsi" w:hAnsiTheme="minorHAnsi"/>
          <w:sz w:val="20"/>
          <w:szCs w:val="20"/>
          <w:lang w:val="sr-Cyrl-BA" w:eastAsia="sr-Cyrl-CS"/>
        </w:rPr>
      </w:pPr>
    </w:p>
    <w:p w14:paraId="5BE1C7B7" w14:textId="77777777" w:rsidR="001538EF" w:rsidRPr="005767EF" w:rsidRDefault="001538EF" w:rsidP="005B6F87">
      <w:pPr>
        <w:pStyle w:val="Heading1"/>
        <w:numPr>
          <w:ilvl w:val="0"/>
          <w:numId w:val="0"/>
        </w:numPr>
        <w:ind w:left="431"/>
        <w:jc w:val="center"/>
        <w:rPr>
          <w:rFonts w:asciiTheme="minorHAnsi" w:hAnsiTheme="minorHAnsi"/>
        </w:rPr>
      </w:pPr>
      <w:bookmarkStart w:id="20" w:name="_Toc135292181"/>
      <w:r w:rsidRPr="005767EF">
        <w:rPr>
          <w:rFonts w:asciiTheme="minorHAnsi" w:hAnsiTheme="minorHAnsi"/>
          <w:lang w:val="sr-Cyrl-BA"/>
        </w:rPr>
        <w:t>ЗАКЉУЧАК</w:t>
      </w:r>
      <w:bookmarkEnd w:id="20"/>
    </w:p>
    <w:p w14:paraId="7FB7997C" w14:textId="77777777" w:rsidR="00B35C5E" w:rsidRDefault="00215F23" w:rsidP="00170349">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 xml:space="preserve">Гарантни </w:t>
      </w:r>
      <w:r w:rsidR="00BB633C" w:rsidRPr="008D7B5A">
        <w:rPr>
          <w:rFonts w:asciiTheme="minorHAnsi" w:hAnsiTheme="minorHAnsi"/>
          <w:color w:val="000000" w:themeColor="text1"/>
          <w:sz w:val="20"/>
          <w:szCs w:val="20"/>
          <w:lang w:val="sr-Cyrl-BA"/>
        </w:rPr>
        <w:t>фонд</w:t>
      </w:r>
      <w:r>
        <w:rPr>
          <w:rFonts w:asciiTheme="minorHAnsi" w:hAnsiTheme="minorHAnsi"/>
          <w:color w:val="000000" w:themeColor="text1"/>
          <w:sz w:val="20"/>
          <w:szCs w:val="20"/>
          <w:lang w:val="sr-Cyrl-BA"/>
        </w:rPr>
        <w:t xml:space="preserve"> Републике Српске је током</w:t>
      </w:r>
      <w:r w:rsidR="00BB633C" w:rsidRPr="008D7B5A">
        <w:rPr>
          <w:rFonts w:asciiTheme="minorHAnsi" w:hAnsiTheme="minorHAnsi"/>
          <w:color w:val="000000" w:themeColor="text1"/>
          <w:sz w:val="20"/>
          <w:szCs w:val="20"/>
          <w:lang w:val="sr-Cyrl-BA"/>
        </w:rPr>
        <w:t xml:space="preserve"> 2023. године </w:t>
      </w:r>
      <w:r>
        <w:rPr>
          <w:rFonts w:asciiTheme="minorHAnsi" w:hAnsiTheme="minorHAnsi"/>
          <w:color w:val="000000" w:themeColor="text1"/>
          <w:sz w:val="20"/>
          <w:szCs w:val="20"/>
          <w:lang w:val="sr-Cyrl-BA"/>
        </w:rPr>
        <w:t>наставио са редовним активностима које се тич</w:t>
      </w:r>
      <w:r w:rsidR="00646C62">
        <w:rPr>
          <w:rFonts w:asciiTheme="minorHAnsi" w:hAnsiTheme="minorHAnsi"/>
          <w:color w:val="000000" w:themeColor="text1"/>
          <w:sz w:val="20"/>
          <w:szCs w:val="20"/>
          <w:lang w:val="sr-Cyrl-BA"/>
        </w:rPr>
        <w:t xml:space="preserve">у праћења постојећих и </w:t>
      </w:r>
      <w:r>
        <w:rPr>
          <w:rFonts w:asciiTheme="minorHAnsi" w:hAnsiTheme="minorHAnsi"/>
          <w:color w:val="000000" w:themeColor="text1"/>
          <w:sz w:val="20"/>
          <w:szCs w:val="20"/>
          <w:lang w:val="sr-Cyrl-BA"/>
        </w:rPr>
        <w:t xml:space="preserve">издавања </w:t>
      </w:r>
      <w:r w:rsidR="00646C62">
        <w:rPr>
          <w:rFonts w:asciiTheme="minorHAnsi" w:hAnsiTheme="minorHAnsi"/>
          <w:color w:val="000000" w:themeColor="text1"/>
          <w:sz w:val="20"/>
          <w:szCs w:val="20"/>
          <w:lang w:val="sr-Cyrl-BA"/>
        </w:rPr>
        <w:t xml:space="preserve">нових </w:t>
      </w:r>
      <w:r>
        <w:rPr>
          <w:rFonts w:asciiTheme="minorHAnsi" w:hAnsiTheme="minorHAnsi"/>
          <w:color w:val="000000" w:themeColor="text1"/>
          <w:sz w:val="20"/>
          <w:szCs w:val="20"/>
          <w:lang w:val="sr-Cyrl-BA"/>
        </w:rPr>
        <w:t xml:space="preserve">гаранција, а гарантна активност се </w:t>
      </w:r>
      <w:r w:rsidR="00BB633C" w:rsidRPr="008D7B5A">
        <w:rPr>
          <w:rFonts w:asciiTheme="minorHAnsi" w:hAnsiTheme="minorHAnsi"/>
          <w:color w:val="000000" w:themeColor="text1"/>
          <w:sz w:val="20"/>
          <w:szCs w:val="20"/>
          <w:lang w:val="sr-Cyrl-BA"/>
        </w:rPr>
        <w:t xml:space="preserve">одвијала у </w:t>
      </w:r>
      <w:r w:rsidR="00315AFE" w:rsidRPr="008D7B5A">
        <w:rPr>
          <w:rFonts w:asciiTheme="minorHAnsi" w:hAnsiTheme="minorHAnsi"/>
          <w:color w:val="000000" w:themeColor="text1"/>
          <w:sz w:val="20"/>
          <w:szCs w:val="20"/>
          <w:lang w:val="sr-Cyrl-BA"/>
        </w:rPr>
        <w:t>три</w:t>
      </w:r>
      <w:r w:rsidR="00BB633C" w:rsidRPr="008D7B5A">
        <w:rPr>
          <w:rFonts w:asciiTheme="minorHAnsi" w:hAnsiTheme="minorHAnsi"/>
          <w:color w:val="000000" w:themeColor="text1"/>
          <w:sz w:val="20"/>
          <w:szCs w:val="20"/>
          <w:lang w:val="sr-Cyrl-BA"/>
        </w:rPr>
        <w:t xml:space="preserve"> сегмента: издавање појединачних гаранција, издавање гаранција на кредитни портф</w:t>
      </w:r>
      <w:r w:rsidR="00631FFF">
        <w:rPr>
          <w:rFonts w:asciiTheme="minorHAnsi" w:hAnsiTheme="minorHAnsi"/>
          <w:color w:val="000000" w:themeColor="text1"/>
          <w:sz w:val="20"/>
          <w:szCs w:val="20"/>
          <w:lang w:val="sr-Cyrl-BA"/>
        </w:rPr>
        <w:t>олио</w:t>
      </w:r>
      <w:r w:rsidR="00BB633C" w:rsidRPr="008D7B5A">
        <w:rPr>
          <w:rFonts w:asciiTheme="minorHAnsi" w:hAnsiTheme="minorHAnsi"/>
          <w:color w:val="000000" w:themeColor="text1"/>
          <w:sz w:val="20"/>
          <w:szCs w:val="20"/>
          <w:lang w:val="sr-Cyrl-BA"/>
        </w:rPr>
        <w:t xml:space="preserve"> и издавање гаранција на емитоване хартије од вриједности. </w:t>
      </w:r>
    </w:p>
    <w:p w14:paraId="418825D4" w14:textId="77777777" w:rsidR="00170349" w:rsidRDefault="00170349" w:rsidP="00170349">
      <w:pPr>
        <w:rPr>
          <w:rFonts w:asciiTheme="minorHAnsi" w:hAnsiTheme="minorHAnsi"/>
          <w:color w:val="000000" w:themeColor="text1"/>
          <w:sz w:val="20"/>
          <w:szCs w:val="20"/>
          <w:lang w:val="sr-Cyrl-BA"/>
        </w:rPr>
      </w:pPr>
    </w:p>
    <w:p w14:paraId="1F20128E" w14:textId="77777777" w:rsidR="00BB633C" w:rsidRPr="008D7B5A" w:rsidRDefault="00B35C5E" w:rsidP="00170349">
      <w:pPr>
        <w:rPr>
          <w:rFonts w:asciiTheme="minorHAnsi" w:hAnsiTheme="minorHAnsi"/>
          <w:color w:val="000000" w:themeColor="text1"/>
          <w:sz w:val="20"/>
          <w:szCs w:val="20"/>
          <w:lang w:val="sr-Cyrl-BA"/>
        </w:rPr>
      </w:pPr>
      <w:r w:rsidRPr="008D7B5A">
        <w:rPr>
          <w:rFonts w:asciiTheme="minorHAnsi" w:hAnsiTheme="minorHAnsi"/>
          <w:color w:val="000000" w:themeColor="text1"/>
          <w:sz w:val="20"/>
          <w:szCs w:val="20"/>
          <w:lang w:val="sr-Cyrl-BA"/>
        </w:rPr>
        <w:t>На основу Уговора о пословно</w:t>
      </w:r>
      <w:r w:rsidRPr="008D7B5A">
        <w:rPr>
          <w:rFonts w:asciiTheme="minorHAnsi" w:hAnsiTheme="minorHAnsi"/>
          <w:color w:val="000000" w:themeColor="text1"/>
          <w:sz w:val="20"/>
          <w:szCs w:val="20"/>
        </w:rPr>
        <w:t>-</w:t>
      </w:r>
      <w:r w:rsidR="001538EF" w:rsidRPr="008D7B5A">
        <w:rPr>
          <w:rFonts w:asciiTheme="minorHAnsi" w:hAnsiTheme="minorHAnsi"/>
          <w:color w:val="000000" w:themeColor="text1"/>
          <w:sz w:val="20"/>
          <w:szCs w:val="20"/>
          <w:lang w:val="sr-Cyrl-BA"/>
        </w:rPr>
        <w:t>техничкој сарадњи потписаних са финанс</w:t>
      </w:r>
      <w:r w:rsidR="00252796">
        <w:rPr>
          <w:rFonts w:asciiTheme="minorHAnsi" w:hAnsiTheme="minorHAnsi"/>
          <w:color w:val="000000" w:themeColor="text1"/>
          <w:sz w:val="20"/>
          <w:szCs w:val="20"/>
          <w:lang w:val="sr-Cyrl-BA"/>
        </w:rPr>
        <w:t>ијским посредницима који уз доз</w:t>
      </w:r>
      <w:r w:rsidR="001538EF" w:rsidRPr="008D7B5A">
        <w:rPr>
          <w:rFonts w:asciiTheme="minorHAnsi" w:hAnsiTheme="minorHAnsi"/>
          <w:color w:val="000000" w:themeColor="text1"/>
          <w:sz w:val="20"/>
          <w:szCs w:val="20"/>
          <w:lang w:val="sr-Cyrl-BA"/>
        </w:rPr>
        <w:t>волу Агенције за банкарство Републике Српске послују на подручју Републике Српске и</w:t>
      </w:r>
      <w:r w:rsidRPr="008D7B5A">
        <w:rPr>
          <w:rFonts w:asciiTheme="minorHAnsi" w:hAnsiTheme="minorHAnsi"/>
          <w:color w:val="000000" w:themeColor="text1"/>
          <w:sz w:val="20"/>
          <w:szCs w:val="20"/>
          <w:lang w:val="sr-Cyrl-BA"/>
        </w:rPr>
        <w:t xml:space="preserve"> у складу с</w:t>
      </w:r>
      <w:r w:rsidR="001538EF" w:rsidRPr="008D7B5A">
        <w:rPr>
          <w:rFonts w:asciiTheme="minorHAnsi" w:hAnsiTheme="minorHAnsi"/>
          <w:color w:val="000000" w:themeColor="text1"/>
          <w:sz w:val="20"/>
          <w:szCs w:val="20"/>
          <w:lang w:val="sr-Cyrl-BA"/>
        </w:rPr>
        <w:t xml:space="preserve"> о</w:t>
      </w:r>
      <w:r w:rsidR="001538EF" w:rsidRPr="008D7B5A">
        <w:rPr>
          <w:rFonts w:asciiTheme="minorHAnsi" w:hAnsiTheme="minorHAnsi"/>
          <w:noProof/>
          <w:color w:val="000000" w:themeColor="text1"/>
          <w:sz w:val="20"/>
          <w:szCs w:val="20"/>
          <w:lang w:val="sr-Cyrl-RS"/>
        </w:rPr>
        <w:t>дредбама члана 3 Пра</w:t>
      </w:r>
      <w:r w:rsidRPr="008D7B5A">
        <w:rPr>
          <w:rFonts w:asciiTheme="minorHAnsi" w:hAnsiTheme="minorHAnsi"/>
          <w:noProof/>
          <w:color w:val="000000" w:themeColor="text1"/>
          <w:sz w:val="20"/>
          <w:szCs w:val="20"/>
          <w:lang w:val="sr-Cyrl-RS"/>
        </w:rPr>
        <w:t xml:space="preserve">вилника о одобравању гаранција </w:t>
      </w:r>
      <w:r w:rsidR="001538EF" w:rsidRPr="008D7B5A">
        <w:rPr>
          <w:rFonts w:asciiTheme="minorHAnsi" w:hAnsiTheme="minorHAnsi"/>
          <w:noProof/>
          <w:color w:val="000000" w:themeColor="text1"/>
          <w:sz w:val="20"/>
          <w:szCs w:val="20"/>
          <w:lang w:val="sr-Cyrl-RS"/>
        </w:rPr>
        <w:t>(„Службени гласник Републике Српске“, број 14</w:t>
      </w:r>
      <w:r w:rsidR="001538EF" w:rsidRPr="008D7B5A">
        <w:rPr>
          <w:rFonts w:asciiTheme="minorHAnsi" w:hAnsiTheme="minorHAnsi"/>
          <w:noProof/>
          <w:color w:val="000000" w:themeColor="text1"/>
          <w:sz w:val="20"/>
          <w:szCs w:val="20"/>
        </w:rPr>
        <w:t>/</w:t>
      </w:r>
      <w:r w:rsidR="001538EF" w:rsidRPr="008D7B5A">
        <w:rPr>
          <w:rFonts w:asciiTheme="minorHAnsi" w:hAnsiTheme="minorHAnsi"/>
          <w:noProof/>
          <w:color w:val="000000" w:themeColor="text1"/>
          <w:sz w:val="20"/>
          <w:szCs w:val="20"/>
          <w:lang w:val="sr-Cyrl-BA"/>
        </w:rPr>
        <w:t>21</w:t>
      </w:r>
      <w:r w:rsidRPr="008D7B5A">
        <w:rPr>
          <w:rFonts w:asciiTheme="minorHAnsi" w:hAnsiTheme="minorHAnsi"/>
          <w:noProof/>
          <w:color w:val="000000" w:themeColor="text1"/>
          <w:sz w:val="20"/>
          <w:szCs w:val="20"/>
          <w:lang w:val="sr-Cyrl-RS"/>
        </w:rPr>
        <w:t>)</w:t>
      </w:r>
      <w:r w:rsidR="001538EF" w:rsidRPr="008D7B5A">
        <w:rPr>
          <w:rFonts w:asciiTheme="minorHAnsi" w:hAnsiTheme="minorHAnsi"/>
          <w:color w:val="000000" w:themeColor="text1"/>
          <w:sz w:val="20"/>
          <w:szCs w:val="20"/>
          <w:lang w:val="sr-Cyrl-BA"/>
        </w:rPr>
        <w:t>,</w:t>
      </w:r>
      <w:r w:rsidRPr="008D7B5A">
        <w:rPr>
          <w:rFonts w:asciiTheme="minorHAnsi" w:hAnsiTheme="minorHAnsi"/>
          <w:color w:val="000000" w:themeColor="text1"/>
          <w:sz w:val="20"/>
          <w:szCs w:val="20"/>
          <w:lang w:val="sr-Cyrl-BA"/>
        </w:rPr>
        <w:t xml:space="preserve"> Гарантни фонд је у 2023</w:t>
      </w:r>
      <w:r w:rsidR="001538EF" w:rsidRPr="008D7B5A">
        <w:rPr>
          <w:rFonts w:asciiTheme="minorHAnsi" w:hAnsiTheme="minorHAnsi"/>
          <w:color w:val="000000" w:themeColor="text1"/>
          <w:sz w:val="20"/>
          <w:szCs w:val="20"/>
          <w:lang w:val="sr-Cyrl-BA"/>
        </w:rPr>
        <w:t>.</w:t>
      </w:r>
      <w:r w:rsidRPr="008D7B5A">
        <w:rPr>
          <w:rFonts w:asciiTheme="minorHAnsi" w:hAnsiTheme="minorHAnsi"/>
          <w:color w:val="000000" w:themeColor="text1"/>
          <w:sz w:val="20"/>
          <w:szCs w:val="20"/>
          <w:lang w:val="sr-Cyrl-BA"/>
        </w:rPr>
        <w:t xml:space="preserve"> </w:t>
      </w:r>
      <w:r w:rsidR="001538EF" w:rsidRPr="008D7B5A">
        <w:rPr>
          <w:rFonts w:asciiTheme="minorHAnsi" w:hAnsiTheme="minorHAnsi"/>
          <w:color w:val="000000" w:themeColor="text1"/>
          <w:sz w:val="20"/>
          <w:szCs w:val="20"/>
          <w:lang w:val="sr-Cyrl-BA"/>
        </w:rPr>
        <w:t xml:space="preserve">години </w:t>
      </w:r>
      <w:r w:rsidRPr="008D7B5A">
        <w:rPr>
          <w:rFonts w:asciiTheme="minorHAnsi" w:hAnsiTheme="minorHAnsi"/>
          <w:color w:val="000000" w:themeColor="text1"/>
          <w:sz w:val="20"/>
          <w:szCs w:val="20"/>
          <w:lang w:val="sr-Cyrl-BA"/>
        </w:rPr>
        <w:t>издао 8 појединачних гаранција</w:t>
      </w:r>
      <w:r w:rsidR="001538EF" w:rsidRPr="008D7B5A">
        <w:rPr>
          <w:rFonts w:asciiTheme="minorHAnsi" w:hAnsiTheme="minorHAnsi"/>
          <w:color w:val="000000" w:themeColor="text1"/>
          <w:sz w:val="20"/>
          <w:szCs w:val="20"/>
          <w:lang w:val="sr-Cyrl-BA"/>
        </w:rPr>
        <w:t xml:space="preserve"> у износу од </w:t>
      </w:r>
      <w:r w:rsidR="00315AFE" w:rsidRPr="008D7B5A">
        <w:rPr>
          <w:rFonts w:asciiTheme="minorHAnsi" w:hAnsiTheme="minorHAnsi"/>
          <w:color w:val="000000" w:themeColor="text1"/>
          <w:sz w:val="20"/>
          <w:szCs w:val="20"/>
          <w:lang w:val="sr-Cyrl-BA"/>
        </w:rPr>
        <w:t xml:space="preserve">5.470.260,00 </w:t>
      </w:r>
      <w:r w:rsidR="001538EF" w:rsidRPr="008D7B5A">
        <w:rPr>
          <w:rFonts w:asciiTheme="minorHAnsi" w:hAnsiTheme="minorHAnsi"/>
          <w:color w:val="000000" w:themeColor="text1"/>
          <w:sz w:val="20"/>
          <w:szCs w:val="20"/>
          <w:lang w:val="sr-Cyrl-BA"/>
        </w:rPr>
        <w:t>КМ</w:t>
      </w:r>
      <w:r w:rsidR="00161F70">
        <w:rPr>
          <w:rFonts w:asciiTheme="minorHAnsi" w:hAnsiTheme="minorHAnsi"/>
          <w:color w:val="000000" w:themeColor="text1"/>
          <w:sz w:val="20"/>
          <w:szCs w:val="20"/>
          <w:lang w:val="sr-Cyrl-BA"/>
        </w:rPr>
        <w:t>,</w:t>
      </w:r>
      <w:r w:rsidR="001538EF" w:rsidRPr="008D7B5A">
        <w:rPr>
          <w:rFonts w:asciiTheme="minorHAnsi" w:hAnsiTheme="minorHAnsi"/>
          <w:color w:val="000000" w:themeColor="text1"/>
          <w:sz w:val="20"/>
          <w:szCs w:val="20"/>
          <w:lang w:val="sr-Cyrl-BA"/>
        </w:rPr>
        <w:t xml:space="preserve"> чиме је подржано </w:t>
      </w:r>
      <w:r w:rsidR="00315AFE" w:rsidRPr="008D7B5A">
        <w:rPr>
          <w:rFonts w:asciiTheme="minorHAnsi" w:hAnsiTheme="minorHAnsi"/>
          <w:color w:val="000000" w:themeColor="text1"/>
          <w:sz w:val="20"/>
          <w:szCs w:val="20"/>
          <w:lang w:val="sr-Cyrl-BA"/>
        </w:rPr>
        <w:t>25.760.000,00</w:t>
      </w:r>
      <w:r w:rsidR="001538EF" w:rsidRPr="008D7B5A">
        <w:rPr>
          <w:rFonts w:asciiTheme="minorHAnsi" w:hAnsiTheme="minorHAnsi"/>
          <w:color w:val="000000" w:themeColor="text1"/>
          <w:sz w:val="20"/>
          <w:szCs w:val="20"/>
          <w:lang w:val="sr-Cyrl-BA"/>
        </w:rPr>
        <w:t xml:space="preserve"> КМ пласм</w:t>
      </w:r>
      <w:r w:rsidR="00315AFE" w:rsidRPr="008D7B5A">
        <w:rPr>
          <w:rFonts w:asciiTheme="minorHAnsi" w:hAnsiTheme="minorHAnsi"/>
          <w:color w:val="000000" w:themeColor="text1"/>
          <w:sz w:val="20"/>
          <w:szCs w:val="20"/>
          <w:lang w:val="sr-Cyrl-BA"/>
        </w:rPr>
        <w:t>ана финансијских посредника.</w:t>
      </w:r>
    </w:p>
    <w:p w14:paraId="2C749194" w14:textId="77777777" w:rsidR="00170349" w:rsidRDefault="00170349" w:rsidP="00170349">
      <w:pPr>
        <w:rPr>
          <w:rFonts w:asciiTheme="minorHAnsi" w:hAnsiTheme="minorHAnsi"/>
          <w:color w:val="000000" w:themeColor="text1"/>
          <w:sz w:val="20"/>
          <w:szCs w:val="20"/>
          <w:lang w:val="sr-Cyrl-BA"/>
        </w:rPr>
      </w:pPr>
    </w:p>
    <w:p w14:paraId="0F0192E4" w14:textId="77777777" w:rsidR="00215F23" w:rsidRDefault="001538EF" w:rsidP="00170349">
      <w:pPr>
        <w:rPr>
          <w:rFonts w:asciiTheme="minorHAnsi" w:hAnsiTheme="minorHAnsi"/>
          <w:color w:val="000000" w:themeColor="text1"/>
          <w:sz w:val="20"/>
          <w:szCs w:val="20"/>
          <w:lang w:val="sr-Cyrl-BA"/>
        </w:rPr>
      </w:pPr>
      <w:r w:rsidRPr="00215F23">
        <w:rPr>
          <w:rFonts w:asciiTheme="minorHAnsi" w:hAnsiTheme="minorHAnsi"/>
          <w:color w:val="000000" w:themeColor="text1"/>
          <w:sz w:val="20"/>
          <w:szCs w:val="20"/>
          <w:lang w:val="sr-Cyrl-BA"/>
        </w:rPr>
        <w:t xml:space="preserve">У </w:t>
      </w:r>
      <w:r w:rsidR="00215F23">
        <w:rPr>
          <w:rFonts w:asciiTheme="minorHAnsi" w:hAnsiTheme="minorHAnsi"/>
          <w:color w:val="000000" w:themeColor="text1"/>
          <w:sz w:val="20"/>
          <w:szCs w:val="20"/>
          <w:lang w:val="sr-Cyrl-BA"/>
        </w:rPr>
        <w:t xml:space="preserve">складу са </w:t>
      </w:r>
      <w:r w:rsidR="00215F23" w:rsidRPr="00215F23">
        <w:rPr>
          <w:rFonts w:asciiTheme="minorHAnsi" w:hAnsiTheme="minorHAnsi"/>
          <w:color w:val="000000" w:themeColor="text1"/>
          <w:sz w:val="20"/>
          <w:szCs w:val="20"/>
          <w:lang w:val="sr-Cyrl-BA"/>
        </w:rPr>
        <w:t>потписаним уговорима о гарантовању кредитног портфеља са финансијским посредницима</w:t>
      </w:r>
      <w:r w:rsidR="00215F23">
        <w:rPr>
          <w:rFonts w:asciiTheme="minorHAnsi" w:hAnsiTheme="minorHAnsi"/>
          <w:color w:val="000000" w:themeColor="text1"/>
          <w:sz w:val="20"/>
          <w:szCs w:val="20"/>
          <w:lang w:val="sr-Cyrl-BA"/>
        </w:rPr>
        <w:t xml:space="preserve">, у сегменту издавања </w:t>
      </w:r>
      <w:r w:rsidR="00215F23">
        <w:rPr>
          <w:rFonts w:asciiTheme="minorHAnsi" w:hAnsiTheme="minorHAnsi"/>
          <w:color w:val="000000" w:themeColor="text1"/>
          <w:sz w:val="20"/>
          <w:szCs w:val="20"/>
        </w:rPr>
        <w:t>гаранциј</w:t>
      </w:r>
      <w:r w:rsidR="00215F23">
        <w:rPr>
          <w:rFonts w:asciiTheme="minorHAnsi" w:hAnsiTheme="minorHAnsi"/>
          <w:color w:val="000000" w:themeColor="text1"/>
          <w:sz w:val="20"/>
          <w:szCs w:val="20"/>
          <w:lang w:val="sr-Cyrl-RS"/>
        </w:rPr>
        <w:t>а</w:t>
      </w:r>
      <w:r w:rsidRPr="00215F23">
        <w:rPr>
          <w:rFonts w:asciiTheme="minorHAnsi" w:hAnsiTheme="minorHAnsi"/>
          <w:color w:val="000000" w:themeColor="text1"/>
          <w:sz w:val="20"/>
          <w:szCs w:val="20"/>
        </w:rPr>
        <w:t xml:space="preserve"> за обезбјеђење дијела обавеза из портф</w:t>
      </w:r>
      <w:r w:rsidR="00FE34B5">
        <w:rPr>
          <w:rFonts w:asciiTheme="minorHAnsi" w:hAnsiTheme="minorHAnsi"/>
          <w:color w:val="000000" w:themeColor="text1"/>
          <w:sz w:val="20"/>
          <w:szCs w:val="20"/>
          <w:lang w:val="sr-Cyrl-RS"/>
        </w:rPr>
        <w:t>олија</w:t>
      </w:r>
      <w:r w:rsidRPr="00215F23">
        <w:rPr>
          <w:rFonts w:asciiTheme="minorHAnsi" w:hAnsiTheme="minorHAnsi"/>
          <w:color w:val="000000" w:themeColor="text1"/>
          <w:sz w:val="20"/>
          <w:szCs w:val="20"/>
        </w:rPr>
        <w:t xml:space="preserve"> кредита, </w:t>
      </w:r>
      <w:r w:rsidR="00215F23">
        <w:rPr>
          <w:rFonts w:asciiTheme="minorHAnsi" w:hAnsiTheme="minorHAnsi"/>
          <w:color w:val="000000" w:themeColor="text1"/>
          <w:sz w:val="20"/>
          <w:szCs w:val="20"/>
          <w:lang w:val="sr-Cyrl-RS"/>
        </w:rPr>
        <w:t xml:space="preserve">током 2023. године су </w:t>
      </w:r>
      <w:r w:rsidR="00215F23">
        <w:rPr>
          <w:rFonts w:asciiTheme="minorHAnsi" w:hAnsiTheme="minorHAnsi"/>
          <w:color w:val="000000" w:themeColor="text1"/>
          <w:sz w:val="20"/>
          <w:szCs w:val="20"/>
          <w:lang w:val="sr-Cyrl-BA"/>
        </w:rPr>
        <w:t>издане</w:t>
      </w:r>
      <w:r w:rsidRPr="00215F23">
        <w:rPr>
          <w:rFonts w:asciiTheme="minorHAnsi" w:hAnsiTheme="minorHAnsi"/>
          <w:color w:val="000000" w:themeColor="text1"/>
          <w:sz w:val="20"/>
          <w:szCs w:val="20"/>
          <w:lang w:val="sr-Cyrl-BA"/>
        </w:rPr>
        <w:t xml:space="preserve"> </w:t>
      </w:r>
      <w:r w:rsidR="00215F23">
        <w:rPr>
          <w:rFonts w:asciiTheme="minorHAnsi" w:hAnsiTheme="minorHAnsi"/>
          <w:color w:val="000000" w:themeColor="text1"/>
          <w:sz w:val="20"/>
          <w:szCs w:val="20"/>
          <w:lang w:val="sr-Cyrl-BA"/>
        </w:rPr>
        <w:t xml:space="preserve">122 гаранције </w:t>
      </w:r>
      <w:r w:rsidRPr="00215F23">
        <w:rPr>
          <w:rFonts w:asciiTheme="minorHAnsi" w:hAnsiTheme="minorHAnsi"/>
          <w:color w:val="000000" w:themeColor="text1"/>
          <w:sz w:val="20"/>
          <w:szCs w:val="20"/>
          <w:lang w:val="sr-Cyrl-BA"/>
        </w:rPr>
        <w:t xml:space="preserve">у номиналном износу од </w:t>
      </w:r>
      <w:r w:rsidR="00215F23">
        <w:rPr>
          <w:rFonts w:asciiTheme="minorHAnsi" w:hAnsiTheme="minorHAnsi"/>
          <w:color w:val="000000" w:themeColor="text1"/>
          <w:sz w:val="20"/>
          <w:szCs w:val="20"/>
          <w:lang w:val="sr-Cyrl-BA"/>
        </w:rPr>
        <w:t>14.881.000,02 КМ,</w:t>
      </w:r>
      <w:r w:rsidRPr="00215F23">
        <w:rPr>
          <w:rFonts w:asciiTheme="minorHAnsi" w:hAnsiTheme="minorHAnsi"/>
          <w:color w:val="000000" w:themeColor="text1"/>
          <w:sz w:val="20"/>
          <w:szCs w:val="20"/>
          <w:lang w:val="sr-Cyrl-BA"/>
        </w:rPr>
        <w:t xml:space="preserve"> чиме је подржано </w:t>
      </w:r>
      <w:r w:rsidR="00215F23" w:rsidRPr="00215F23">
        <w:rPr>
          <w:rFonts w:asciiTheme="minorHAnsi" w:hAnsiTheme="minorHAnsi"/>
          <w:color w:val="000000" w:themeColor="text1"/>
          <w:sz w:val="20"/>
          <w:szCs w:val="20"/>
          <w:lang w:val="sr-Cyrl-BA"/>
        </w:rPr>
        <w:t xml:space="preserve">29.762.000,036 КМ </w:t>
      </w:r>
      <w:r w:rsidRPr="00215F23">
        <w:rPr>
          <w:rFonts w:asciiTheme="minorHAnsi" w:hAnsiTheme="minorHAnsi"/>
          <w:color w:val="000000" w:themeColor="text1"/>
          <w:sz w:val="20"/>
          <w:szCs w:val="20"/>
          <w:lang w:val="sr-Cyrl-BA"/>
        </w:rPr>
        <w:t>пласмана финансијских посредника.</w:t>
      </w:r>
      <w:r w:rsidR="00161F70">
        <w:rPr>
          <w:rFonts w:asciiTheme="minorHAnsi" w:hAnsiTheme="minorHAnsi"/>
          <w:color w:val="000000" w:themeColor="text1"/>
          <w:sz w:val="20"/>
          <w:szCs w:val="20"/>
          <w:lang w:val="sr-Cyrl-BA"/>
        </w:rPr>
        <w:t xml:space="preserve"> Од 2020. године је примјетна све већа оријентација финансијских посредника на одобравање кредита у оквиру портф</w:t>
      </w:r>
      <w:r w:rsidR="007B3016">
        <w:rPr>
          <w:rFonts w:asciiTheme="minorHAnsi" w:hAnsiTheme="minorHAnsi"/>
          <w:color w:val="000000" w:themeColor="text1"/>
          <w:sz w:val="20"/>
          <w:szCs w:val="20"/>
          <w:lang w:val="sr-Cyrl-BA"/>
        </w:rPr>
        <w:t>олиј</w:t>
      </w:r>
      <w:r w:rsidR="00161F70">
        <w:rPr>
          <w:rFonts w:asciiTheme="minorHAnsi" w:hAnsiTheme="minorHAnsi"/>
          <w:color w:val="000000" w:themeColor="text1"/>
          <w:sz w:val="20"/>
          <w:szCs w:val="20"/>
          <w:lang w:val="sr-Cyrl-BA"/>
        </w:rPr>
        <w:t>а кредита, с обзиром на бројне предности у виду скраћења процедуре одобравања и једноставнијег пос</w:t>
      </w:r>
      <w:r w:rsidR="00DA2523">
        <w:rPr>
          <w:rFonts w:asciiTheme="minorHAnsi" w:hAnsiTheme="minorHAnsi"/>
          <w:color w:val="000000" w:themeColor="text1"/>
          <w:sz w:val="20"/>
          <w:szCs w:val="20"/>
          <w:lang w:val="sr-Cyrl-BA"/>
        </w:rPr>
        <w:t>тупка за самог клијента. Значај</w:t>
      </w:r>
      <w:r w:rsidR="00161F70">
        <w:rPr>
          <w:rFonts w:asciiTheme="minorHAnsi" w:hAnsiTheme="minorHAnsi"/>
          <w:color w:val="000000" w:themeColor="text1"/>
          <w:sz w:val="20"/>
          <w:szCs w:val="20"/>
          <w:lang w:val="sr-Cyrl-BA"/>
        </w:rPr>
        <w:t>н</w:t>
      </w:r>
      <w:r w:rsidR="00DA2523">
        <w:rPr>
          <w:rFonts w:asciiTheme="minorHAnsi" w:hAnsiTheme="minorHAnsi"/>
          <w:color w:val="000000" w:themeColor="text1"/>
          <w:sz w:val="20"/>
          <w:szCs w:val="20"/>
          <w:lang w:val="sr-Cyrl-BA"/>
        </w:rPr>
        <w:t>а</w:t>
      </w:r>
      <w:r w:rsidR="00161F70">
        <w:rPr>
          <w:rFonts w:asciiTheme="minorHAnsi" w:hAnsiTheme="minorHAnsi"/>
          <w:color w:val="000000" w:themeColor="text1"/>
          <w:sz w:val="20"/>
          <w:szCs w:val="20"/>
          <w:lang w:val="sr-Cyrl-BA"/>
        </w:rPr>
        <w:t xml:space="preserve"> предност овог начина одобравања је у томе што се трошак издавања гаранције пребацује на финансијског посредника, за ра</w:t>
      </w:r>
      <w:r w:rsidR="00A84CAD">
        <w:rPr>
          <w:rFonts w:asciiTheme="minorHAnsi" w:hAnsiTheme="minorHAnsi"/>
          <w:color w:val="000000" w:themeColor="text1"/>
          <w:sz w:val="20"/>
          <w:szCs w:val="20"/>
          <w:lang w:val="sr-Cyrl-BA"/>
        </w:rPr>
        <w:t>злику од појединачних гаранција</w:t>
      </w:r>
      <w:r w:rsidR="00161F70">
        <w:rPr>
          <w:rFonts w:asciiTheme="minorHAnsi" w:hAnsiTheme="minorHAnsi"/>
          <w:color w:val="000000" w:themeColor="text1"/>
          <w:sz w:val="20"/>
          <w:szCs w:val="20"/>
          <w:lang w:val="sr-Cyrl-BA"/>
        </w:rPr>
        <w:t xml:space="preserve"> гдје трошкове сноси клијент. </w:t>
      </w:r>
    </w:p>
    <w:p w14:paraId="4A6CEA2D" w14:textId="77777777" w:rsidR="00170349" w:rsidRPr="00215F23" w:rsidRDefault="00170349" w:rsidP="00170349">
      <w:pPr>
        <w:rPr>
          <w:rFonts w:asciiTheme="minorHAnsi" w:hAnsiTheme="minorHAnsi"/>
          <w:color w:val="000000" w:themeColor="text1"/>
          <w:sz w:val="20"/>
          <w:szCs w:val="20"/>
          <w:lang w:val="sr-Cyrl-RS"/>
        </w:rPr>
      </w:pPr>
    </w:p>
    <w:p w14:paraId="4F60A6C6" w14:textId="77777777" w:rsidR="001538EF" w:rsidRDefault="001538EF" w:rsidP="00215F23">
      <w:pPr>
        <w:rPr>
          <w:rFonts w:asciiTheme="minorHAnsi" w:hAnsiTheme="minorHAnsi"/>
          <w:color w:val="000000" w:themeColor="text1"/>
          <w:sz w:val="20"/>
          <w:szCs w:val="20"/>
          <w:lang w:val="sr-Cyrl-RS"/>
        </w:rPr>
      </w:pPr>
      <w:r w:rsidRPr="00215F23">
        <w:rPr>
          <w:rFonts w:asciiTheme="minorHAnsi" w:hAnsiTheme="minorHAnsi"/>
          <w:color w:val="000000" w:themeColor="text1"/>
          <w:sz w:val="20"/>
          <w:szCs w:val="20"/>
        </w:rPr>
        <w:t>Законом о измјенама и допунама Закона о Гарантном фонду Републике Српске дефинисанa је и могућност и</w:t>
      </w:r>
      <w:r w:rsidR="00215F23" w:rsidRPr="00215F23">
        <w:rPr>
          <w:rFonts w:asciiTheme="minorHAnsi" w:hAnsiTheme="minorHAnsi"/>
          <w:color w:val="000000" w:themeColor="text1"/>
          <w:sz w:val="20"/>
          <w:szCs w:val="20"/>
        </w:rPr>
        <w:t xml:space="preserve">здавања гаранција </w:t>
      </w:r>
      <w:r w:rsidR="00215F23" w:rsidRPr="00215F23">
        <w:rPr>
          <w:rFonts w:asciiTheme="minorHAnsi" w:hAnsiTheme="minorHAnsi"/>
          <w:color w:val="000000" w:themeColor="text1"/>
          <w:sz w:val="20"/>
          <w:szCs w:val="20"/>
          <w:lang w:val="sr-Cyrl-RS"/>
        </w:rPr>
        <w:t xml:space="preserve">којим се </w:t>
      </w:r>
      <w:r w:rsidR="00215F23" w:rsidRPr="00215F23">
        <w:rPr>
          <w:rFonts w:asciiTheme="minorHAnsi" w:hAnsiTheme="minorHAnsi"/>
          <w:color w:val="000000" w:themeColor="text1"/>
          <w:sz w:val="20"/>
          <w:szCs w:val="20"/>
        </w:rPr>
        <w:t>гарант</w:t>
      </w:r>
      <w:r w:rsidR="00215F23" w:rsidRPr="00215F23">
        <w:rPr>
          <w:rFonts w:asciiTheme="minorHAnsi" w:hAnsiTheme="minorHAnsi"/>
          <w:color w:val="000000" w:themeColor="text1"/>
          <w:sz w:val="20"/>
          <w:szCs w:val="20"/>
          <w:lang w:val="sr-Cyrl-RS"/>
        </w:rPr>
        <w:t>ују</w:t>
      </w:r>
      <w:r w:rsidR="00215F23" w:rsidRPr="00215F23">
        <w:rPr>
          <w:rFonts w:asciiTheme="minorHAnsi" w:hAnsiTheme="minorHAnsi"/>
          <w:color w:val="000000" w:themeColor="text1"/>
          <w:sz w:val="20"/>
          <w:szCs w:val="20"/>
        </w:rPr>
        <w:t xml:space="preserve"> </w:t>
      </w:r>
      <w:r w:rsidRPr="00215F23">
        <w:rPr>
          <w:rFonts w:asciiTheme="minorHAnsi" w:hAnsiTheme="minorHAnsi"/>
          <w:color w:val="000000" w:themeColor="text1"/>
          <w:sz w:val="20"/>
          <w:szCs w:val="20"/>
        </w:rPr>
        <w:t>финансијск</w:t>
      </w:r>
      <w:r w:rsidR="00215F23" w:rsidRPr="00215F23">
        <w:rPr>
          <w:rFonts w:asciiTheme="minorHAnsi" w:hAnsiTheme="minorHAnsi"/>
          <w:color w:val="000000" w:themeColor="text1"/>
          <w:sz w:val="20"/>
          <w:szCs w:val="20"/>
          <w:lang w:val="sr-Cyrl-RS"/>
        </w:rPr>
        <w:t>е</w:t>
      </w:r>
      <w:r w:rsidR="00215F23" w:rsidRPr="00215F23">
        <w:rPr>
          <w:rFonts w:asciiTheme="minorHAnsi" w:hAnsiTheme="minorHAnsi"/>
          <w:color w:val="000000" w:themeColor="text1"/>
          <w:sz w:val="20"/>
          <w:szCs w:val="20"/>
        </w:rPr>
        <w:t xml:space="preserve"> обавез</w:t>
      </w:r>
      <w:r w:rsidR="00215F23" w:rsidRPr="00215F23">
        <w:rPr>
          <w:rFonts w:asciiTheme="minorHAnsi" w:hAnsiTheme="minorHAnsi"/>
          <w:color w:val="000000" w:themeColor="text1"/>
          <w:sz w:val="20"/>
          <w:szCs w:val="20"/>
          <w:lang w:val="sr-Cyrl-RS"/>
        </w:rPr>
        <w:t>е</w:t>
      </w:r>
      <w:r w:rsidRPr="00215F23">
        <w:rPr>
          <w:rFonts w:asciiTheme="minorHAnsi" w:hAnsiTheme="minorHAnsi"/>
          <w:color w:val="000000" w:themeColor="text1"/>
          <w:sz w:val="20"/>
          <w:szCs w:val="20"/>
        </w:rPr>
        <w:t xml:space="preserve"> предузетника из дужничких хартија од вриједности које предузетник емитује у складу са прописима којим се уређује тржиште хартија од вриједности у поступку јавне понуде.</w:t>
      </w:r>
      <w:r w:rsidR="00215F23" w:rsidRPr="00215F23">
        <w:rPr>
          <w:rFonts w:asciiTheme="minorHAnsi" w:hAnsiTheme="minorHAnsi"/>
          <w:color w:val="000000" w:themeColor="text1"/>
          <w:sz w:val="20"/>
          <w:szCs w:val="20"/>
          <w:lang w:val="sr-Cyrl-RS"/>
        </w:rPr>
        <w:t xml:space="preserve"> </w:t>
      </w:r>
      <w:r w:rsidRPr="00215F23">
        <w:rPr>
          <w:rFonts w:asciiTheme="minorHAnsi" w:hAnsiTheme="minorHAnsi"/>
          <w:color w:val="000000" w:themeColor="text1"/>
          <w:sz w:val="20"/>
          <w:szCs w:val="20"/>
        </w:rPr>
        <w:t>По овом основу</w:t>
      </w:r>
      <w:r w:rsidR="00215F23" w:rsidRPr="00215F23">
        <w:rPr>
          <w:rFonts w:asciiTheme="minorHAnsi" w:hAnsiTheme="minorHAnsi"/>
          <w:color w:val="000000" w:themeColor="text1"/>
          <w:sz w:val="20"/>
          <w:szCs w:val="20"/>
          <w:lang w:val="sr-Cyrl-RS"/>
        </w:rPr>
        <w:t>,</w:t>
      </w:r>
      <w:r w:rsidRPr="00215F23">
        <w:rPr>
          <w:rFonts w:asciiTheme="minorHAnsi" w:hAnsiTheme="minorHAnsi"/>
          <w:color w:val="000000" w:themeColor="text1"/>
          <w:sz w:val="20"/>
          <w:szCs w:val="20"/>
        </w:rPr>
        <w:t xml:space="preserve"> Скупштина акционара Гарантног фонда Републике Српске је </w:t>
      </w:r>
      <w:r w:rsidR="00215F23" w:rsidRPr="00215F23">
        <w:rPr>
          <w:rFonts w:asciiTheme="minorHAnsi" w:hAnsiTheme="minorHAnsi"/>
          <w:color w:val="000000" w:themeColor="text1"/>
          <w:sz w:val="20"/>
          <w:szCs w:val="20"/>
          <w:lang w:val="sr-Cyrl-RS"/>
        </w:rPr>
        <w:t xml:space="preserve">у </w:t>
      </w:r>
      <w:r w:rsidR="00215F23" w:rsidRPr="00215F23">
        <w:rPr>
          <w:rFonts w:asciiTheme="minorHAnsi" w:hAnsiTheme="minorHAnsi"/>
          <w:color w:val="000000" w:themeColor="text1"/>
          <w:sz w:val="20"/>
          <w:szCs w:val="20"/>
        </w:rPr>
        <w:t>202</w:t>
      </w:r>
      <w:r w:rsidR="00215F23" w:rsidRPr="00215F23">
        <w:rPr>
          <w:rFonts w:asciiTheme="minorHAnsi" w:hAnsiTheme="minorHAnsi"/>
          <w:color w:val="000000" w:themeColor="text1"/>
          <w:sz w:val="20"/>
          <w:szCs w:val="20"/>
          <w:lang w:val="sr-Cyrl-RS"/>
        </w:rPr>
        <w:t>3</w:t>
      </w:r>
      <w:r w:rsidR="00215F23" w:rsidRPr="00215F23">
        <w:rPr>
          <w:rFonts w:asciiTheme="minorHAnsi" w:hAnsiTheme="minorHAnsi"/>
          <w:color w:val="000000" w:themeColor="text1"/>
          <w:sz w:val="20"/>
          <w:szCs w:val="20"/>
        </w:rPr>
        <w:t xml:space="preserve">. години </w:t>
      </w:r>
      <w:r w:rsidRPr="00215F23">
        <w:rPr>
          <w:rFonts w:asciiTheme="minorHAnsi" w:hAnsiTheme="minorHAnsi"/>
          <w:color w:val="000000" w:themeColor="text1"/>
          <w:sz w:val="20"/>
          <w:szCs w:val="20"/>
        </w:rPr>
        <w:t xml:space="preserve">одобрила </w:t>
      </w:r>
      <w:r w:rsidR="00215F23" w:rsidRPr="00215F23">
        <w:rPr>
          <w:rFonts w:asciiTheme="minorHAnsi" w:hAnsiTheme="minorHAnsi"/>
          <w:color w:val="000000" w:themeColor="text1"/>
          <w:sz w:val="20"/>
          <w:szCs w:val="20"/>
          <w:lang w:val="sr-Cyrl-RS"/>
        </w:rPr>
        <w:t xml:space="preserve">издавање двије гаранције </w:t>
      </w:r>
      <w:r w:rsidRPr="00215F23">
        <w:rPr>
          <w:rFonts w:asciiTheme="minorHAnsi" w:hAnsiTheme="minorHAnsi"/>
          <w:color w:val="000000" w:themeColor="text1"/>
          <w:sz w:val="20"/>
          <w:szCs w:val="20"/>
        </w:rPr>
        <w:t xml:space="preserve">у </w:t>
      </w:r>
      <w:r w:rsidR="00215F23" w:rsidRPr="00215F23">
        <w:rPr>
          <w:rFonts w:asciiTheme="minorHAnsi" w:hAnsiTheme="minorHAnsi"/>
          <w:color w:val="000000" w:themeColor="text1"/>
          <w:sz w:val="20"/>
          <w:szCs w:val="20"/>
          <w:lang w:val="sr-Cyrl-RS"/>
        </w:rPr>
        <w:t>износу од 1.860.000,00 КМ</w:t>
      </w:r>
      <w:r w:rsidR="00646C62">
        <w:rPr>
          <w:rFonts w:asciiTheme="minorHAnsi" w:hAnsiTheme="minorHAnsi"/>
          <w:color w:val="000000" w:themeColor="text1"/>
          <w:sz w:val="20"/>
          <w:szCs w:val="20"/>
          <w:lang w:val="sr-Cyrl-RS"/>
        </w:rPr>
        <w:t>,</w:t>
      </w:r>
      <w:r w:rsidR="00215F23" w:rsidRPr="00215F23">
        <w:rPr>
          <w:rFonts w:asciiTheme="minorHAnsi" w:hAnsiTheme="minorHAnsi"/>
          <w:color w:val="000000" w:themeColor="text1"/>
          <w:sz w:val="20"/>
          <w:szCs w:val="20"/>
          <w:lang w:val="sr-Cyrl-RS"/>
        </w:rPr>
        <w:t xml:space="preserve"> чиме је подржана</w:t>
      </w:r>
      <w:r w:rsidR="00215F23" w:rsidRPr="00215F23">
        <w:rPr>
          <w:rFonts w:asciiTheme="minorHAnsi" w:hAnsiTheme="minorHAnsi"/>
          <w:color w:val="000000" w:themeColor="text1"/>
          <w:sz w:val="20"/>
          <w:szCs w:val="20"/>
        </w:rPr>
        <w:t xml:space="preserve"> емисиј</w:t>
      </w:r>
      <w:r w:rsidR="00215F23" w:rsidRPr="00215F23">
        <w:rPr>
          <w:rFonts w:asciiTheme="minorHAnsi" w:hAnsiTheme="minorHAnsi"/>
          <w:color w:val="000000" w:themeColor="text1"/>
          <w:sz w:val="20"/>
          <w:szCs w:val="20"/>
          <w:lang w:val="sr-Cyrl-RS"/>
        </w:rPr>
        <w:t>а</w:t>
      </w:r>
      <w:r w:rsidRPr="00215F23">
        <w:rPr>
          <w:rFonts w:asciiTheme="minorHAnsi" w:hAnsiTheme="minorHAnsi"/>
          <w:color w:val="000000" w:themeColor="text1"/>
          <w:sz w:val="20"/>
          <w:szCs w:val="20"/>
        </w:rPr>
        <w:t xml:space="preserve"> хартија од вриједности </w:t>
      </w:r>
      <w:r w:rsidR="00215F23" w:rsidRPr="00215F23">
        <w:rPr>
          <w:rFonts w:asciiTheme="minorHAnsi" w:hAnsiTheme="minorHAnsi"/>
          <w:color w:val="000000" w:themeColor="text1"/>
          <w:sz w:val="20"/>
          <w:szCs w:val="20"/>
          <w:lang w:val="sr-Cyrl-RS"/>
        </w:rPr>
        <w:t xml:space="preserve">укупне вриједности 4.200.000,00 КМ. </w:t>
      </w:r>
    </w:p>
    <w:p w14:paraId="49EADF62" w14:textId="77777777" w:rsidR="00170349" w:rsidRDefault="00170349" w:rsidP="00215F23">
      <w:pPr>
        <w:rPr>
          <w:rFonts w:asciiTheme="minorHAnsi" w:hAnsiTheme="minorHAnsi"/>
          <w:color w:val="000000" w:themeColor="text1"/>
          <w:sz w:val="20"/>
          <w:szCs w:val="20"/>
          <w:lang w:val="sr-Cyrl-RS"/>
        </w:rPr>
      </w:pPr>
    </w:p>
    <w:p w14:paraId="52888A31" w14:textId="77777777" w:rsidR="00646C62" w:rsidRDefault="00646C62" w:rsidP="001538EF">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RS"/>
        </w:rPr>
        <w:t>Током године, уредно су отплаћени кредити одобрени у номиналном износу од 1</w:t>
      </w:r>
      <w:r w:rsidR="00170349">
        <w:rPr>
          <w:rFonts w:asciiTheme="minorHAnsi" w:hAnsiTheme="minorHAnsi"/>
          <w:color w:val="000000" w:themeColor="text1"/>
          <w:sz w:val="20"/>
          <w:szCs w:val="20"/>
          <w:lang w:val="sr-Cyrl-RS"/>
        </w:rPr>
        <w:t>5</w:t>
      </w:r>
      <w:r>
        <w:rPr>
          <w:rFonts w:asciiTheme="minorHAnsi" w:hAnsiTheme="minorHAnsi"/>
          <w:color w:val="000000" w:themeColor="text1"/>
          <w:sz w:val="20"/>
          <w:szCs w:val="20"/>
          <w:lang w:val="sr-Cyrl-RS"/>
        </w:rPr>
        <w:t>.</w:t>
      </w:r>
      <w:r w:rsidR="00170349">
        <w:rPr>
          <w:rFonts w:asciiTheme="minorHAnsi" w:hAnsiTheme="minorHAnsi"/>
          <w:color w:val="000000" w:themeColor="text1"/>
          <w:sz w:val="20"/>
          <w:szCs w:val="20"/>
          <w:lang w:val="sr-Cyrl-RS"/>
        </w:rPr>
        <w:t>0</w:t>
      </w:r>
      <w:r>
        <w:rPr>
          <w:rFonts w:asciiTheme="minorHAnsi" w:hAnsiTheme="minorHAnsi"/>
          <w:color w:val="000000" w:themeColor="text1"/>
          <w:sz w:val="20"/>
          <w:szCs w:val="20"/>
          <w:lang w:val="sr-Cyrl-RS"/>
        </w:rPr>
        <w:t xml:space="preserve">86.900,00 КМ, чиме су ван снаге стављене гаранције у износу од </w:t>
      </w:r>
      <w:r w:rsidR="00170349">
        <w:rPr>
          <w:rFonts w:asciiTheme="minorHAnsi" w:hAnsiTheme="minorHAnsi"/>
          <w:color w:val="000000" w:themeColor="text1"/>
          <w:sz w:val="20"/>
          <w:szCs w:val="20"/>
          <w:lang w:val="sr-Cyrl-RS"/>
        </w:rPr>
        <w:t>6</w:t>
      </w:r>
      <w:r>
        <w:rPr>
          <w:rFonts w:asciiTheme="minorHAnsi" w:hAnsiTheme="minorHAnsi"/>
          <w:color w:val="000000" w:themeColor="text1"/>
          <w:sz w:val="20"/>
          <w:szCs w:val="20"/>
          <w:lang w:val="sr-Cyrl-RS"/>
        </w:rPr>
        <w:t>.</w:t>
      </w:r>
      <w:r w:rsidR="00170349">
        <w:rPr>
          <w:rFonts w:asciiTheme="minorHAnsi" w:hAnsiTheme="minorHAnsi"/>
          <w:color w:val="000000" w:themeColor="text1"/>
          <w:sz w:val="20"/>
          <w:szCs w:val="20"/>
          <w:lang w:val="sr-Cyrl-RS"/>
        </w:rPr>
        <w:t>9</w:t>
      </w:r>
      <w:r>
        <w:rPr>
          <w:rFonts w:asciiTheme="minorHAnsi" w:hAnsiTheme="minorHAnsi"/>
          <w:color w:val="000000" w:themeColor="text1"/>
          <w:sz w:val="20"/>
          <w:szCs w:val="20"/>
          <w:lang w:val="sr-Cyrl-RS"/>
        </w:rPr>
        <w:t>43.296,00 КМ</w:t>
      </w:r>
      <w:r w:rsidR="00A84CAD">
        <w:rPr>
          <w:rFonts w:asciiTheme="minorHAnsi" w:hAnsiTheme="minorHAnsi"/>
          <w:color w:val="000000" w:themeColor="text1"/>
          <w:sz w:val="20"/>
          <w:szCs w:val="20"/>
          <w:lang w:val="sr-Cyrl-RS"/>
        </w:rPr>
        <w:t xml:space="preserve">, </w:t>
      </w:r>
      <w:r w:rsidR="003E3504">
        <w:rPr>
          <w:rFonts w:asciiTheme="minorHAnsi" w:hAnsiTheme="minorHAnsi"/>
          <w:color w:val="000000" w:themeColor="text1"/>
          <w:sz w:val="20"/>
          <w:szCs w:val="20"/>
          <w:lang w:val="sr-Cyrl-RS"/>
        </w:rPr>
        <w:t>те</w:t>
      </w:r>
      <w:r w:rsidR="00A84CAD">
        <w:rPr>
          <w:rFonts w:asciiTheme="minorHAnsi" w:hAnsiTheme="minorHAnsi"/>
          <w:color w:val="000000" w:themeColor="text1"/>
          <w:sz w:val="20"/>
          <w:szCs w:val="20"/>
          <w:lang w:val="sr-Cyrl-RS"/>
        </w:rPr>
        <w:t xml:space="preserve"> је зн</w:t>
      </w:r>
      <w:r w:rsidR="00DA2523">
        <w:rPr>
          <w:rFonts w:asciiTheme="minorHAnsi" w:hAnsiTheme="minorHAnsi"/>
          <w:color w:val="000000" w:themeColor="text1"/>
          <w:sz w:val="20"/>
          <w:szCs w:val="20"/>
          <w:lang w:val="sr-Cyrl-RS"/>
        </w:rPr>
        <w:t>ачајно смањена изложеност Гаран</w:t>
      </w:r>
      <w:r w:rsidR="00A84CAD">
        <w:rPr>
          <w:rFonts w:asciiTheme="minorHAnsi" w:hAnsiTheme="minorHAnsi"/>
          <w:color w:val="000000" w:themeColor="text1"/>
          <w:sz w:val="20"/>
          <w:szCs w:val="20"/>
          <w:lang w:val="sr-Cyrl-RS"/>
        </w:rPr>
        <w:t>т</w:t>
      </w:r>
      <w:r w:rsidR="00DA2523">
        <w:rPr>
          <w:rFonts w:asciiTheme="minorHAnsi" w:hAnsiTheme="minorHAnsi"/>
          <w:color w:val="000000" w:themeColor="text1"/>
          <w:sz w:val="20"/>
          <w:szCs w:val="20"/>
          <w:lang w:val="sr-Cyrl-RS"/>
        </w:rPr>
        <w:t>н</w:t>
      </w:r>
      <w:r w:rsidR="00A84CAD">
        <w:rPr>
          <w:rFonts w:asciiTheme="minorHAnsi" w:hAnsiTheme="minorHAnsi"/>
          <w:color w:val="000000" w:themeColor="text1"/>
          <w:sz w:val="20"/>
          <w:szCs w:val="20"/>
          <w:lang w:val="sr-Cyrl-RS"/>
        </w:rPr>
        <w:t>ог фонда</w:t>
      </w:r>
      <w:r>
        <w:rPr>
          <w:rFonts w:asciiTheme="minorHAnsi" w:hAnsiTheme="minorHAnsi"/>
          <w:color w:val="000000" w:themeColor="text1"/>
          <w:sz w:val="20"/>
          <w:szCs w:val="20"/>
          <w:lang w:val="sr-Cyrl-RS"/>
        </w:rPr>
        <w:t>.</w:t>
      </w:r>
      <w:r w:rsidR="00170349">
        <w:rPr>
          <w:rFonts w:asciiTheme="minorHAnsi" w:hAnsiTheme="minorHAnsi"/>
          <w:color w:val="000000" w:themeColor="text1"/>
          <w:sz w:val="20"/>
          <w:szCs w:val="20"/>
          <w:lang w:val="sr-Cyrl-RS"/>
        </w:rPr>
        <w:t xml:space="preserve"> </w:t>
      </w:r>
      <w:r w:rsidRPr="00646C62">
        <w:rPr>
          <w:rFonts w:asciiTheme="minorHAnsi" w:hAnsiTheme="minorHAnsi"/>
          <w:color w:val="000000" w:themeColor="text1"/>
          <w:sz w:val="20"/>
          <w:szCs w:val="20"/>
          <w:lang w:val="sr-Cyrl-BA"/>
        </w:rPr>
        <w:t xml:space="preserve">На дан 31.12.2023. године, укупна изложеност Гарантног фонда према корисницима гаранција </w:t>
      </w:r>
      <w:r>
        <w:rPr>
          <w:rFonts w:asciiTheme="minorHAnsi" w:hAnsiTheme="minorHAnsi"/>
          <w:color w:val="000000" w:themeColor="text1"/>
          <w:sz w:val="20"/>
          <w:szCs w:val="20"/>
          <w:lang w:val="sr-Cyrl-BA"/>
        </w:rPr>
        <w:t xml:space="preserve">у три наведена сегмента </w:t>
      </w:r>
      <w:r w:rsidRPr="00646C62">
        <w:rPr>
          <w:rFonts w:asciiTheme="minorHAnsi" w:hAnsiTheme="minorHAnsi"/>
          <w:color w:val="000000" w:themeColor="text1"/>
          <w:sz w:val="20"/>
          <w:szCs w:val="20"/>
          <w:lang w:val="sr-Cyrl-BA"/>
        </w:rPr>
        <w:t>износи 30.708.970,37 КМ</w:t>
      </w:r>
      <w:r>
        <w:rPr>
          <w:rFonts w:asciiTheme="minorHAnsi" w:hAnsiTheme="minorHAnsi"/>
          <w:color w:val="000000" w:themeColor="text1"/>
          <w:sz w:val="20"/>
          <w:szCs w:val="20"/>
          <w:lang w:val="sr-Cyrl-BA"/>
        </w:rPr>
        <w:t xml:space="preserve"> и представља максималну потенцијалну обавезу Гарантног фонда која се заснива на стању активних гаранција на наведени дан. Укупна изложеност је у оквиру Законом дозвољене максималне изложености</w:t>
      </w:r>
      <w:r w:rsidR="00A84CAD">
        <w:rPr>
          <w:rFonts w:asciiTheme="minorHAnsi" w:hAnsiTheme="minorHAnsi"/>
          <w:color w:val="000000" w:themeColor="text1"/>
          <w:sz w:val="20"/>
          <w:szCs w:val="20"/>
          <w:lang w:val="sr-Cyrl-BA"/>
        </w:rPr>
        <w:t xml:space="preserve"> које је дефинисана на нивоу </w:t>
      </w:r>
      <w:r>
        <w:rPr>
          <w:rFonts w:asciiTheme="minorHAnsi" w:hAnsiTheme="minorHAnsi"/>
          <w:color w:val="000000" w:themeColor="text1"/>
          <w:sz w:val="20"/>
          <w:szCs w:val="20"/>
          <w:lang w:val="sr-Cyrl-BA"/>
        </w:rPr>
        <w:t>троструке вриједности основн</w:t>
      </w:r>
      <w:r w:rsidR="00170349">
        <w:rPr>
          <w:rFonts w:asciiTheme="minorHAnsi" w:hAnsiTheme="minorHAnsi"/>
          <w:color w:val="000000" w:themeColor="text1"/>
          <w:sz w:val="20"/>
          <w:szCs w:val="20"/>
          <w:lang w:val="sr-Cyrl-BA"/>
        </w:rPr>
        <w:t>ог капитала, односно 90.000.00</w:t>
      </w:r>
      <w:r>
        <w:rPr>
          <w:rFonts w:asciiTheme="minorHAnsi" w:hAnsiTheme="minorHAnsi"/>
          <w:color w:val="000000" w:themeColor="text1"/>
          <w:sz w:val="20"/>
          <w:szCs w:val="20"/>
          <w:lang w:val="sr-Cyrl-BA"/>
        </w:rPr>
        <w:t>0</w:t>
      </w:r>
      <w:r w:rsidR="00170349">
        <w:rPr>
          <w:rFonts w:asciiTheme="minorHAnsi" w:hAnsiTheme="minorHAnsi"/>
          <w:color w:val="000000" w:themeColor="text1"/>
          <w:sz w:val="20"/>
          <w:szCs w:val="20"/>
          <w:lang w:val="sr-Cyrl-BA"/>
        </w:rPr>
        <w:t>,0</w:t>
      </w:r>
      <w:r>
        <w:rPr>
          <w:rFonts w:asciiTheme="minorHAnsi" w:hAnsiTheme="minorHAnsi"/>
          <w:color w:val="000000" w:themeColor="text1"/>
          <w:sz w:val="20"/>
          <w:szCs w:val="20"/>
          <w:lang w:val="sr-Cyrl-BA"/>
        </w:rPr>
        <w:t>0 КМ.</w:t>
      </w:r>
      <w:r w:rsidRPr="00646C62">
        <w:rPr>
          <w:rFonts w:asciiTheme="minorHAnsi" w:hAnsiTheme="minorHAnsi"/>
          <w:color w:val="000000" w:themeColor="text1"/>
          <w:sz w:val="20"/>
          <w:szCs w:val="20"/>
          <w:lang w:val="sr-Cyrl-BA"/>
        </w:rPr>
        <w:t xml:space="preserve">  </w:t>
      </w:r>
    </w:p>
    <w:p w14:paraId="5B2A609A" w14:textId="77777777" w:rsidR="00170349" w:rsidRDefault="00170349" w:rsidP="00170349">
      <w:pPr>
        <w:rPr>
          <w:rFonts w:asciiTheme="minorHAnsi" w:hAnsiTheme="minorHAnsi"/>
          <w:color w:val="000000" w:themeColor="text1"/>
          <w:sz w:val="20"/>
          <w:szCs w:val="20"/>
          <w:lang w:val="sr-Cyrl-RS"/>
        </w:rPr>
      </w:pPr>
    </w:p>
    <w:p w14:paraId="03C8D5E1" w14:textId="77777777" w:rsidR="001538EF" w:rsidRDefault="00646C62" w:rsidP="00170349">
      <w:pPr>
        <w:rPr>
          <w:rFonts w:asciiTheme="minorHAnsi" w:hAnsiTheme="minorHAnsi"/>
          <w:color w:val="000000" w:themeColor="text1"/>
          <w:sz w:val="20"/>
          <w:szCs w:val="20"/>
          <w:lang w:val="sr-Cyrl-BA"/>
        </w:rPr>
      </w:pPr>
      <w:r w:rsidRPr="00C83692">
        <w:rPr>
          <w:rFonts w:asciiTheme="minorHAnsi" w:hAnsiTheme="minorHAnsi"/>
          <w:color w:val="000000" w:themeColor="text1"/>
          <w:sz w:val="20"/>
          <w:szCs w:val="20"/>
          <w:lang w:val="sr-Cyrl-BA"/>
        </w:rPr>
        <w:t>Поред наведеног,</w:t>
      </w:r>
      <w:r w:rsidR="00A84CAD" w:rsidRPr="00C83692">
        <w:rPr>
          <w:rFonts w:asciiTheme="minorHAnsi" w:hAnsiTheme="minorHAnsi"/>
          <w:color w:val="000000" w:themeColor="text1"/>
          <w:sz w:val="20"/>
          <w:szCs w:val="20"/>
          <w:lang w:val="sr-Cyrl-BA"/>
        </w:rPr>
        <w:t xml:space="preserve"> Гарантни фонд је у 2023. години наставио са активностима које се тичу провођења Гарантног програма </w:t>
      </w:r>
      <w:r w:rsidR="00C83692" w:rsidRPr="00C83692">
        <w:rPr>
          <w:rFonts w:asciiTheme="minorHAnsi" w:hAnsiTheme="minorHAnsi"/>
          <w:color w:val="000000" w:themeColor="text1"/>
          <w:sz w:val="20"/>
          <w:szCs w:val="20"/>
          <w:lang w:val="sr-Cyrl-BA"/>
        </w:rPr>
        <w:t xml:space="preserve">Владе Републике Српске. </w:t>
      </w:r>
      <w:r w:rsidR="00090FC2" w:rsidRPr="00090FC2">
        <w:rPr>
          <w:rFonts w:asciiTheme="minorHAnsi" w:hAnsiTheme="minorHAnsi"/>
          <w:color w:val="000000" w:themeColor="text1"/>
          <w:sz w:val="20"/>
          <w:szCs w:val="20"/>
          <w:lang w:val="sr-Cyrl-BA"/>
        </w:rPr>
        <w:t xml:space="preserve">Гарантни фонд Републике Српске управља Гарантним програмом у име и за рачун Републике Српске, поштујући закон којим је регулисано његово пословање, Одлуку о Гарантном програму и друге пратеће акте. Иако је Гарантни програм завршен 31.12.2022. године, у смислу да није могуће укључивање нових кредита у портфолио, Фонд </w:t>
      </w:r>
      <w:r w:rsidR="00090FC2">
        <w:rPr>
          <w:rFonts w:asciiTheme="minorHAnsi" w:hAnsiTheme="minorHAnsi"/>
          <w:color w:val="000000" w:themeColor="text1"/>
          <w:sz w:val="20"/>
          <w:szCs w:val="20"/>
          <w:lang w:val="sr-Cyrl-BA"/>
        </w:rPr>
        <w:t>је током 2023. године наставио са</w:t>
      </w:r>
      <w:r w:rsidR="00090FC2" w:rsidRPr="00090FC2">
        <w:rPr>
          <w:rFonts w:asciiTheme="minorHAnsi" w:hAnsiTheme="minorHAnsi"/>
          <w:color w:val="000000" w:themeColor="text1"/>
          <w:sz w:val="20"/>
          <w:szCs w:val="20"/>
          <w:lang w:val="sr-Cyrl-BA"/>
        </w:rPr>
        <w:t xml:space="preserve"> активности</w:t>
      </w:r>
      <w:r w:rsidR="00090FC2">
        <w:rPr>
          <w:rFonts w:asciiTheme="minorHAnsi" w:hAnsiTheme="minorHAnsi"/>
          <w:color w:val="000000" w:themeColor="text1"/>
          <w:sz w:val="20"/>
          <w:szCs w:val="20"/>
          <w:lang w:val="sr-Cyrl-BA"/>
        </w:rPr>
        <w:t>ма</w:t>
      </w:r>
      <w:r w:rsidR="00090FC2" w:rsidRPr="00090FC2">
        <w:rPr>
          <w:rFonts w:asciiTheme="minorHAnsi" w:hAnsiTheme="minorHAnsi"/>
          <w:color w:val="000000" w:themeColor="text1"/>
          <w:sz w:val="20"/>
          <w:szCs w:val="20"/>
          <w:lang w:val="sr-Cyrl-BA"/>
        </w:rPr>
        <w:t xml:space="preserve"> које се тичу п</w:t>
      </w:r>
      <w:r w:rsidR="00090FC2">
        <w:rPr>
          <w:rFonts w:asciiTheme="minorHAnsi" w:hAnsiTheme="minorHAnsi"/>
          <w:color w:val="000000" w:themeColor="text1"/>
          <w:sz w:val="20"/>
          <w:szCs w:val="20"/>
          <w:lang w:val="sr-Cyrl-BA"/>
        </w:rPr>
        <w:t xml:space="preserve">раћења стања активних кредита, вршења теренских контрола и сачињавања мјесечних, односно кварталних извјештаја. </w:t>
      </w:r>
      <w:r w:rsidR="00090FC2" w:rsidRPr="00090FC2">
        <w:rPr>
          <w:rFonts w:asciiTheme="minorHAnsi" w:hAnsiTheme="minorHAnsi"/>
          <w:color w:val="000000" w:themeColor="text1"/>
          <w:sz w:val="20"/>
          <w:szCs w:val="20"/>
          <w:lang w:val="sr-Cyrl-BA"/>
        </w:rPr>
        <w:t xml:space="preserve">Поред постојећег људског кадра који је укључен у провођење наведених активности, Гарантни фонд је извршио и сва потребна материјална и нематеријална улагања за ефикасно праћење Програма, укључујући </w:t>
      </w:r>
      <w:r w:rsidR="00090FC2">
        <w:rPr>
          <w:rFonts w:asciiTheme="minorHAnsi" w:hAnsiTheme="minorHAnsi"/>
          <w:color w:val="000000" w:themeColor="text1"/>
          <w:sz w:val="20"/>
          <w:szCs w:val="20"/>
          <w:lang w:val="sr-Cyrl-BA"/>
        </w:rPr>
        <w:t xml:space="preserve">континуирано </w:t>
      </w:r>
      <w:r w:rsidR="00090FC2" w:rsidRPr="00090FC2">
        <w:rPr>
          <w:rFonts w:asciiTheme="minorHAnsi" w:hAnsiTheme="minorHAnsi"/>
          <w:color w:val="000000" w:themeColor="text1"/>
          <w:sz w:val="20"/>
          <w:szCs w:val="20"/>
          <w:lang w:val="sr-Cyrl-BA"/>
        </w:rPr>
        <w:t>улагање у софтвер и пратећу опрему.</w:t>
      </w:r>
    </w:p>
    <w:p w14:paraId="4AC1DBB9" w14:textId="77777777" w:rsidR="00170349" w:rsidRDefault="00170349" w:rsidP="00170349">
      <w:pPr>
        <w:rPr>
          <w:rFonts w:asciiTheme="minorHAnsi" w:hAnsiTheme="minorHAnsi"/>
          <w:color w:val="000000" w:themeColor="text1"/>
          <w:sz w:val="20"/>
          <w:szCs w:val="20"/>
          <w:lang w:val="sr-Cyrl-BA"/>
        </w:rPr>
      </w:pPr>
    </w:p>
    <w:p w14:paraId="0A1730E3" w14:textId="77777777" w:rsidR="00170349" w:rsidRPr="00C83692" w:rsidRDefault="00170349" w:rsidP="00170349">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Гарантни фонд је наставио сарадњу са Европском асоцијацијом гарантних институција, путем које размјењује позитивна искуства и праксе, те п</w:t>
      </w:r>
      <w:r w:rsidR="00F67F6B">
        <w:rPr>
          <w:rFonts w:asciiTheme="minorHAnsi" w:hAnsiTheme="minorHAnsi"/>
          <w:color w:val="000000" w:themeColor="text1"/>
          <w:sz w:val="20"/>
          <w:szCs w:val="20"/>
          <w:lang w:val="sr-Cyrl-BA"/>
        </w:rPr>
        <w:t>р</w:t>
      </w:r>
      <w:r>
        <w:rPr>
          <w:rFonts w:asciiTheme="minorHAnsi" w:hAnsiTheme="minorHAnsi"/>
          <w:color w:val="000000" w:themeColor="text1"/>
          <w:sz w:val="20"/>
          <w:szCs w:val="20"/>
          <w:lang w:val="sr-Cyrl-BA"/>
        </w:rPr>
        <w:t>ати најновија дешавања на европском тржишту гаранција.</w:t>
      </w:r>
    </w:p>
    <w:p w14:paraId="36BB1E6D" w14:textId="77777777" w:rsidR="00170349" w:rsidRDefault="00170349" w:rsidP="00170349">
      <w:pPr>
        <w:rPr>
          <w:rFonts w:asciiTheme="minorHAnsi" w:hAnsiTheme="minorHAnsi"/>
          <w:color w:val="auto"/>
          <w:sz w:val="20"/>
          <w:szCs w:val="20"/>
          <w:lang w:val="sr-Cyrl-BA" w:eastAsia="sr-Cyrl-CS"/>
        </w:rPr>
      </w:pPr>
    </w:p>
    <w:p w14:paraId="438B0AA6" w14:textId="77777777" w:rsidR="00F67F6B" w:rsidRDefault="00F67F6B" w:rsidP="00170349">
      <w:pPr>
        <w:rPr>
          <w:rFonts w:asciiTheme="minorHAnsi" w:hAnsiTheme="minorHAnsi"/>
          <w:color w:val="auto"/>
          <w:sz w:val="20"/>
          <w:szCs w:val="20"/>
          <w:lang w:val="sr-Cyrl-BA" w:eastAsia="sr-Cyrl-CS"/>
        </w:rPr>
      </w:pPr>
    </w:p>
    <w:p w14:paraId="48244DFB" w14:textId="77777777" w:rsidR="001538EF" w:rsidRPr="00DA2523" w:rsidRDefault="001538EF" w:rsidP="00170349">
      <w:pPr>
        <w:rPr>
          <w:color w:val="auto"/>
          <w:lang w:val="sr-Cyrl-RS"/>
        </w:rPr>
      </w:pPr>
      <w:r w:rsidRPr="003B2D9A">
        <w:rPr>
          <w:rFonts w:asciiTheme="minorHAnsi" w:hAnsiTheme="minorHAnsi"/>
          <w:color w:val="auto"/>
          <w:sz w:val="20"/>
          <w:szCs w:val="20"/>
          <w:lang w:val="sr-Cyrl-BA" w:eastAsia="sr-Cyrl-CS"/>
        </w:rPr>
        <w:t>У 202</w:t>
      </w:r>
      <w:r w:rsidR="00090FC2" w:rsidRPr="003B2D9A">
        <w:rPr>
          <w:rFonts w:asciiTheme="minorHAnsi" w:hAnsiTheme="minorHAnsi"/>
          <w:color w:val="auto"/>
          <w:sz w:val="20"/>
          <w:szCs w:val="20"/>
          <w:lang w:val="sr-Cyrl-BA" w:eastAsia="sr-Cyrl-CS"/>
        </w:rPr>
        <w:t>3</w:t>
      </w:r>
      <w:r w:rsidRPr="003B2D9A">
        <w:rPr>
          <w:rFonts w:asciiTheme="minorHAnsi" w:hAnsiTheme="minorHAnsi"/>
          <w:color w:val="auto"/>
          <w:sz w:val="20"/>
          <w:szCs w:val="20"/>
          <w:lang w:val="sr-Cyrl-BA" w:eastAsia="sr-Cyrl-CS"/>
        </w:rPr>
        <w:t>. години</w:t>
      </w:r>
      <w:r w:rsidR="00090FC2" w:rsidRPr="003B2D9A">
        <w:rPr>
          <w:rFonts w:asciiTheme="minorHAnsi" w:hAnsiTheme="minorHAnsi"/>
          <w:color w:val="auto"/>
          <w:sz w:val="20"/>
          <w:szCs w:val="20"/>
          <w:lang w:val="sr-Cyrl-BA" w:eastAsia="sr-Cyrl-CS"/>
        </w:rPr>
        <w:t>,</w:t>
      </w:r>
      <w:r w:rsidR="00170349">
        <w:rPr>
          <w:rFonts w:asciiTheme="minorHAnsi" w:hAnsiTheme="minorHAnsi"/>
          <w:color w:val="auto"/>
          <w:sz w:val="20"/>
          <w:szCs w:val="20"/>
          <w:lang w:val="sr-Cyrl-BA" w:eastAsia="sr-Cyrl-CS"/>
        </w:rPr>
        <w:t xml:space="preserve"> Фонд је остварио укупне</w:t>
      </w:r>
      <w:r w:rsidRPr="003B2D9A">
        <w:rPr>
          <w:rFonts w:asciiTheme="minorHAnsi" w:hAnsiTheme="minorHAnsi"/>
          <w:color w:val="auto"/>
          <w:sz w:val="20"/>
          <w:szCs w:val="20"/>
          <w:lang w:val="sr-Cyrl-BA" w:eastAsia="sr-Cyrl-CS"/>
        </w:rPr>
        <w:t xml:space="preserve"> приход</w:t>
      </w:r>
      <w:r w:rsidR="003B2D9A" w:rsidRPr="003B2D9A">
        <w:rPr>
          <w:rFonts w:asciiTheme="minorHAnsi" w:hAnsiTheme="minorHAnsi"/>
          <w:color w:val="auto"/>
          <w:sz w:val="20"/>
          <w:szCs w:val="20"/>
          <w:lang w:val="sr-Cyrl-BA" w:eastAsia="sr-Cyrl-CS"/>
        </w:rPr>
        <w:t>е</w:t>
      </w:r>
      <w:r w:rsidRPr="003B2D9A">
        <w:rPr>
          <w:rFonts w:asciiTheme="minorHAnsi" w:hAnsiTheme="minorHAnsi"/>
          <w:color w:val="auto"/>
          <w:sz w:val="20"/>
          <w:szCs w:val="20"/>
          <w:lang w:val="sr-Cyrl-BA" w:eastAsia="sr-Cyrl-CS"/>
        </w:rPr>
        <w:t xml:space="preserve"> у износу од </w:t>
      </w:r>
      <w:r w:rsidR="00090FC2" w:rsidRPr="003B2D9A">
        <w:rPr>
          <w:rFonts w:asciiTheme="minorHAnsi" w:hAnsiTheme="minorHAnsi"/>
          <w:color w:val="auto"/>
          <w:sz w:val="20"/>
          <w:szCs w:val="20"/>
          <w:lang w:val="sr-Cyrl-BA" w:eastAsia="sr-Cyrl-CS"/>
        </w:rPr>
        <w:t>1.276.365,06 КМ. Готово половину прихода чине приходи из редовне активности, односно приходи од премија и провизија који су остварени у износу од 621.123,05 КМ.</w:t>
      </w:r>
      <w:r w:rsidR="003B2D9A" w:rsidRPr="003B2D9A">
        <w:rPr>
          <w:rFonts w:asciiTheme="minorHAnsi" w:hAnsiTheme="minorHAnsi"/>
          <w:color w:val="auto"/>
          <w:sz w:val="20"/>
          <w:szCs w:val="20"/>
          <w:lang w:val="sr-Cyrl-BA" w:eastAsia="sr-Cyrl-CS"/>
        </w:rPr>
        <w:t xml:space="preserve"> На другом мјесту су приходи од камата, који су остварени у </w:t>
      </w:r>
      <w:r w:rsidR="003B2D9A" w:rsidRPr="00093857">
        <w:rPr>
          <w:rFonts w:asciiTheme="minorHAnsi" w:hAnsiTheme="minorHAnsi"/>
          <w:color w:val="auto"/>
          <w:sz w:val="20"/>
          <w:szCs w:val="20"/>
          <w:lang w:val="sr-Cyrl-BA" w:eastAsia="sr-Cyrl-CS"/>
        </w:rPr>
        <w:t xml:space="preserve">износу од 478.325,78 КМ, док </w:t>
      </w:r>
      <w:r w:rsidRPr="00093857">
        <w:rPr>
          <w:rFonts w:asciiTheme="minorHAnsi" w:hAnsiTheme="minorHAnsi"/>
          <w:color w:val="auto"/>
          <w:sz w:val="20"/>
          <w:szCs w:val="20"/>
          <w:lang w:val="sr-Cyrl-BA" w:eastAsia="sr-Cyrl-CS"/>
        </w:rPr>
        <w:t xml:space="preserve">су приходи од укидања резервисања износили </w:t>
      </w:r>
      <w:r w:rsidR="003B2D9A" w:rsidRPr="00093857">
        <w:rPr>
          <w:rFonts w:asciiTheme="minorHAnsi" w:hAnsiTheme="minorHAnsi"/>
          <w:color w:val="auto"/>
          <w:sz w:val="20"/>
          <w:szCs w:val="20"/>
          <w:lang w:val="sr-Cyrl-BA" w:eastAsia="sr-Cyrl-CS"/>
        </w:rPr>
        <w:t>103.851,54 КМ. О</w:t>
      </w:r>
      <w:r w:rsidRPr="00093857">
        <w:rPr>
          <w:rFonts w:asciiTheme="minorHAnsi" w:hAnsiTheme="minorHAnsi"/>
          <w:color w:val="auto"/>
          <w:sz w:val="20"/>
          <w:szCs w:val="20"/>
          <w:lang w:val="sr-Cyrl-BA" w:eastAsia="sr-Cyrl-CS"/>
        </w:rPr>
        <w:t xml:space="preserve">стали приходи </w:t>
      </w:r>
      <w:r w:rsidR="003B2D9A" w:rsidRPr="00093857">
        <w:rPr>
          <w:rFonts w:asciiTheme="minorHAnsi" w:hAnsiTheme="minorHAnsi"/>
          <w:color w:val="auto"/>
          <w:sz w:val="20"/>
          <w:szCs w:val="20"/>
          <w:lang w:val="sr-Cyrl-BA" w:eastAsia="sr-Cyrl-CS"/>
        </w:rPr>
        <w:t>су остварени у износу од 73.064,69</w:t>
      </w:r>
      <w:r w:rsidRPr="00093857">
        <w:rPr>
          <w:rFonts w:asciiTheme="minorHAnsi" w:hAnsiTheme="minorHAnsi"/>
          <w:color w:val="auto"/>
          <w:sz w:val="20"/>
          <w:szCs w:val="20"/>
          <w:lang w:val="sr-Cyrl-BA" w:eastAsia="sr-Cyrl-CS"/>
        </w:rPr>
        <w:t xml:space="preserve"> КМ.</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Pr="00093857">
        <w:rPr>
          <w:rFonts w:ascii="Arial" w:hAnsi="Arial" w:cs="Arial"/>
          <w:color w:val="auto"/>
          <w:sz w:val="20"/>
          <w:szCs w:val="20"/>
        </w:rPr>
        <w:t>‬</w:t>
      </w:r>
      <w:r w:rsidR="00F53A19" w:rsidRPr="00093857">
        <w:rPr>
          <w:rFonts w:ascii="Arial" w:hAnsi="Arial" w:cs="Arial"/>
          <w:color w:val="auto"/>
          <w:sz w:val="20"/>
          <w:szCs w:val="20"/>
        </w:rPr>
        <w:t>‬</w:t>
      </w:r>
      <w:r w:rsidR="007339B5" w:rsidRPr="00093857">
        <w:rPr>
          <w:rFonts w:ascii="Arial" w:hAnsi="Arial" w:cs="Arial"/>
          <w:color w:val="auto"/>
          <w:sz w:val="20"/>
          <w:szCs w:val="20"/>
        </w:rPr>
        <w:t>‬</w:t>
      </w:r>
      <w:r w:rsidR="004A1318" w:rsidRPr="00093857">
        <w:rPr>
          <w:rFonts w:ascii="Arial" w:hAnsi="Arial" w:cs="Arial"/>
          <w:color w:val="auto"/>
          <w:sz w:val="20"/>
          <w:szCs w:val="20"/>
        </w:rPr>
        <w:t>‬</w:t>
      </w:r>
      <w:r w:rsidR="006743A0" w:rsidRPr="00093857">
        <w:rPr>
          <w:rFonts w:ascii="Arial" w:hAnsi="Arial" w:cs="Arial"/>
          <w:color w:val="auto"/>
          <w:sz w:val="20"/>
          <w:szCs w:val="20"/>
        </w:rPr>
        <w:t>‬</w:t>
      </w:r>
      <w:r w:rsidR="0070222F" w:rsidRPr="00093857">
        <w:rPr>
          <w:rFonts w:ascii="Arial" w:hAnsi="Arial" w:cs="Arial"/>
          <w:color w:val="auto"/>
          <w:sz w:val="20"/>
          <w:szCs w:val="20"/>
        </w:rPr>
        <w:t>‬</w:t>
      </w:r>
      <w:r w:rsidR="004259DC" w:rsidRPr="00093857">
        <w:rPr>
          <w:rFonts w:ascii="Arial" w:hAnsi="Arial" w:cs="Arial"/>
          <w:color w:val="auto"/>
          <w:sz w:val="20"/>
          <w:szCs w:val="20"/>
        </w:rPr>
        <w:t>‬</w:t>
      </w:r>
      <w:r w:rsidR="000B04CD" w:rsidRPr="00093857">
        <w:rPr>
          <w:rFonts w:ascii="Arial" w:hAnsi="Arial" w:cs="Arial"/>
          <w:color w:val="auto"/>
          <w:sz w:val="20"/>
          <w:szCs w:val="20"/>
        </w:rPr>
        <w:t>‬</w:t>
      </w:r>
      <w:r w:rsidR="006E40F1" w:rsidRPr="00093857">
        <w:rPr>
          <w:rFonts w:ascii="Arial" w:hAnsi="Arial" w:cs="Arial"/>
          <w:color w:val="auto"/>
          <w:sz w:val="20"/>
          <w:szCs w:val="20"/>
        </w:rPr>
        <w:t>‬</w:t>
      </w:r>
      <w:r w:rsidR="00C14A0F" w:rsidRPr="00093857">
        <w:rPr>
          <w:rFonts w:ascii="Arial" w:hAnsi="Arial" w:cs="Arial"/>
          <w:color w:val="auto"/>
          <w:sz w:val="20"/>
          <w:szCs w:val="20"/>
        </w:rPr>
        <w:t>‬</w:t>
      </w:r>
      <w:r w:rsidR="00E16DD7" w:rsidRPr="00093857">
        <w:rPr>
          <w:rFonts w:ascii="Arial" w:hAnsi="Arial" w:cs="Arial"/>
          <w:color w:val="auto"/>
          <w:sz w:val="20"/>
          <w:szCs w:val="20"/>
        </w:rPr>
        <w:t>‬</w:t>
      </w:r>
      <w:r w:rsidR="002A1615" w:rsidRPr="00093857">
        <w:rPr>
          <w:rFonts w:ascii="Arial" w:hAnsi="Arial" w:cs="Arial"/>
          <w:color w:val="auto"/>
          <w:sz w:val="20"/>
          <w:szCs w:val="20"/>
        </w:rPr>
        <w:t>‬</w:t>
      </w:r>
      <w:r w:rsidR="00153592" w:rsidRPr="00093857">
        <w:rPr>
          <w:rFonts w:ascii="Arial" w:hAnsi="Arial" w:cs="Arial"/>
          <w:color w:val="auto"/>
          <w:sz w:val="20"/>
          <w:szCs w:val="20"/>
        </w:rPr>
        <w:t>‬</w:t>
      </w:r>
      <w:r w:rsidR="00C83A25" w:rsidRPr="00093857">
        <w:rPr>
          <w:color w:val="auto"/>
        </w:rPr>
        <w:t>‬</w:t>
      </w:r>
      <w:r w:rsidR="000C2D2F" w:rsidRPr="00093857">
        <w:rPr>
          <w:color w:val="auto"/>
        </w:rPr>
        <w:t>‬</w:t>
      </w:r>
      <w:r w:rsidR="00091285" w:rsidRPr="00093857">
        <w:rPr>
          <w:color w:val="auto"/>
        </w:rPr>
        <w:t>‬</w:t>
      </w:r>
      <w:r w:rsidR="00954F20" w:rsidRPr="00093857">
        <w:rPr>
          <w:color w:val="auto"/>
        </w:rPr>
        <w:t>‬</w:t>
      </w:r>
      <w:r w:rsidR="005D0BE8" w:rsidRPr="00093857">
        <w:rPr>
          <w:color w:val="auto"/>
        </w:rPr>
        <w:t>‬</w:t>
      </w:r>
      <w:r w:rsidR="00EA7186" w:rsidRPr="00093857">
        <w:rPr>
          <w:color w:val="auto"/>
        </w:rPr>
        <w:t>‬</w:t>
      </w:r>
      <w:r w:rsidR="00B35C5E" w:rsidRPr="00093857">
        <w:rPr>
          <w:color w:val="auto"/>
        </w:rPr>
        <w:t>‬</w:t>
      </w:r>
      <w:r w:rsidR="00DA2523">
        <w:rPr>
          <w:color w:val="auto"/>
          <w:lang w:val="sr-Cyrl-RS"/>
        </w:rPr>
        <w:t xml:space="preserve"> </w:t>
      </w:r>
    </w:p>
    <w:p w14:paraId="33D0818F" w14:textId="77777777" w:rsidR="00170349" w:rsidRPr="00170349" w:rsidRDefault="00170349" w:rsidP="00170349">
      <w:pPr>
        <w:rPr>
          <w:rFonts w:asciiTheme="minorHAnsi" w:hAnsiTheme="minorHAnsi"/>
          <w:color w:val="auto"/>
          <w:sz w:val="20"/>
          <w:szCs w:val="20"/>
          <w:lang w:val="sr-Cyrl-RS" w:eastAsia="sr-Cyrl-CS"/>
        </w:rPr>
      </w:pPr>
    </w:p>
    <w:p w14:paraId="61070996" w14:textId="77777777" w:rsidR="001538EF" w:rsidRDefault="00DA2523" w:rsidP="00170349">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Укупни трошкови</w:t>
      </w:r>
      <w:r w:rsidR="00093857" w:rsidRPr="00093857">
        <w:rPr>
          <w:rFonts w:asciiTheme="minorHAnsi" w:hAnsiTheme="minorHAnsi"/>
          <w:color w:val="auto"/>
          <w:sz w:val="20"/>
          <w:szCs w:val="20"/>
          <w:lang w:val="sr-Cyrl-CS" w:eastAsia="sr-Cyrl-CS"/>
        </w:rPr>
        <w:t xml:space="preserve"> пословања </w:t>
      </w:r>
      <w:r>
        <w:rPr>
          <w:rFonts w:asciiTheme="minorHAnsi" w:hAnsiTheme="minorHAnsi"/>
          <w:color w:val="auto"/>
          <w:sz w:val="20"/>
          <w:szCs w:val="20"/>
          <w:lang w:val="sr-Cyrl-CS" w:eastAsia="sr-Cyrl-CS"/>
        </w:rPr>
        <w:t>Фонда су износили</w:t>
      </w:r>
      <w:r w:rsidR="00093857" w:rsidRPr="00093857">
        <w:rPr>
          <w:rFonts w:asciiTheme="minorHAnsi" w:hAnsiTheme="minorHAnsi"/>
          <w:color w:val="auto"/>
          <w:sz w:val="20"/>
          <w:szCs w:val="20"/>
          <w:lang w:val="sr-Cyrl-CS" w:eastAsia="sr-Cyrl-CS"/>
        </w:rPr>
        <w:t xml:space="preserve"> 1.965.356,65 КМ, док су укупни расходи износили 3.062.064,17 КМ. Разлику у износу од 1.096.707,62 КМ између остварених трошкова и укупних расхода чине резервисања по ванбилансној активи у износу од 752.467,91 КМ, расходи камата и накнада у износу од 281.097,38 КМ и расходи по основу престанка признавања финансијских средстава у износу од 63.142,23</w:t>
      </w:r>
      <w:r w:rsidR="00093857">
        <w:rPr>
          <w:rFonts w:asciiTheme="minorHAnsi" w:hAnsiTheme="minorHAnsi"/>
          <w:color w:val="auto"/>
          <w:sz w:val="20"/>
          <w:szCs w:val="20"/>
          <w:lang w:val="sr-Cyrl-CS" w:eastAsia="sr-Cyrl-CS"/>
        </w:rPr>
        <w:t>.</w:t>
      </w:r>
      <w:r>
        <w:rPr>
          <w:rFonts w:asciiTheme="minorHAnsi" w:hAnsiTheme="minorHAnsi"/>
          <w:color w:val="auto"/>
          <w:sz w:val="20"/>
          <w:szCs w:val="20"/>
          <w:lang w:val="sr-Cyrl-CS" w:eastAsia="sr-Cyrl-CS"/>
        </w:rPr>
        <w:t xml:space="preserve"> Трошкови пословања Фонда су задржани на нивоу од ранијих година, док је у оквиру расхода дошло до значајног повећања које је највећим дијелом узроковано растом расхода резервисања по ванбилансној активи, услијед погоршања финансијске позиције одређеног броја налогодаваца гаранција.</w:t>
      </w:r>
    </w:p>
    <w:p w14:paraId="6607B9FF" w14:textId="77777777" w:rsidR="00093857" w:rsidRPr="00093857" w:rsidRDefault="00093857" w:rsidP="00093857">
      <w:pPr>
        <w:ind w:firstLine="708"/>
        <w:rPr>
          <w:rFonts w:asciiTheme="minorHAnsi" w:hAnsiTheme="minorHAnsi"/>
          <w:color w:val="auto"/>
          <w:sz w:val="20"/>
          <w:szCs w:val="20"/>
          <w:lang w:val="sr-Cyrl-BA" w:eastAsia="sr-Latn-RS"/>
        </w:rPr>
      </w:pPr>
    </w:p>
    <w:p w14:paraId="51776B2A" w14:textId="77777777" w:rsidR="00DA2523" w:rsidRDefault="00DA2523" w:rsidP="001538EF">
      <w:pPr>
        <w:rPr>
          <w:rFonts w:asciiTheme="minorHAnsi" w:eastAsia="Calibri" w:hAnsiTheme="minorHAnsi"/>
          <w:color w:val="000000" w:themeColor="text1"/>
          <w:sz w:val="20"/>
          <w:szCs w:val="20"/>
          <w:lang w:val="sr-Cyrl-BA" w:eastAsia="en-US"/>
        </w:rPr>
      </w:pPr>
      <w:r>
        <w:rPr>
          <w:rFonts w:asciiTheme="minorHAnsi" w:eastAsia="Calibri" w:hAnsiTheme="minorHAnsi"/>
          <w:color w:val="000000" w:themeColor="text1"/>
          <w:sz w:val="20"/>
          <w:szCs w:val="20"/>
          <w:lang w:val="sr-Cyrl-BA" w:eastAsia="en-US"/>
        </w:rPr>
        <w:t xml:space="preserve">Значајан раст укупних расхода изнад нивоа остварених прихода је довео до </w:t>
      </w:r>
      <w:r w:rsidRPr="00C969EE">
        <w:rPr>
          <w:rFonts w:asciiTheme="minorHAnsi" w:eastAsia="Calibri" w:hAnsiTheme="minorHAnsi"/>
          <w:color w:val="000000" w:themeColor="text1"/>
          <w:sz w:val="20"/>
          <w:szCs w:val="20"/>
          <w:lang w:val="sr-Cyrl-BA" w:eastAsia="en-US"/>
        </w:rPr>
        <w:t>н</w:t>
      </w:r>
      <w:r>
        <w:rPr>
          <w:rFonts w:asciiTheme="minorHAnsi" w:eastAsia="Calibri" w:hAnsiTheme="minorHAnsi"/>
          <w:color w:val="000000" w:themeColor="text1"/>
          <w:sz w:val="20"/>
          <w:szCs w:val="20"/>
          <w:lang w:val="sr-Cyrl-BA" w:eastAsia="en-US"/>
        </w:rPr>
        <w:t>егатив</w:t>
      </w:r>
      <w:r w:rsidRPr="00C969EE">
        <w:rPr>
          <w:rFonts w:asciiTheme="minorHAnsi" w:eastAsia="Calibri" w:hAnsiTheme="minorHAnsi"/>
          <w:color w:val="000000" w:themeColor="text1"/>
          <w:sz w:val="20"/>
          <w:szCs w:val="20"/>
          <w:lang w:val="sr-Cyrl-BA" w:eastAsia="en-US"/>
        </w:rPr>
        <w:t>н</w:t>
      </w:r>
      <w:r>
        <w:rPr>
          <w:rFonts w:asciiTheme="minorHAnsi" w:eastAsia="Calibri" w:hAnsiTheme="minorHAnsi"/>
          <w:color w:val="000000" w:themeColor="text1"/>
          <w:sz w:val="20"/>
          <w:szCs w:val="20"/>
          <w:lang w:val="sr-Cyrl-BA" w:eastAsia="en-US"/>
        </w:rPr>
        <w:t>ог финансијског</w:t>
      </w:r>
      <w:r w:rsidRPr="00C969EE">
        <w:rPr>
          <w:rFonts w:asciiTheme="minorHAnsi" w:eastAsia="Calibri" w:hAnsiTheme="minorHAnsi"/>
          <w:color w:val="000000" w:themeColor="text1"/>
          <w:sz w:val="20"/>
          <w:szCs w:val="20"/>
          <w:lang w:val="sr-Cyrl-BA" w:eastAsia="en-US"/>
        </w:rPr>
        <w:t xml:space="preserve"> резултат</w:t>
      </w:r>
      <w:r>
        <w:rPr>
          <w:rFonts w:asciiTheme="minorHAnsi" w:eastAsia="Calibri" w:hAnsiTheme="minorHAnsi"/>
          <w:color w:val="000000" w:themeColor="text1"/>
          <w:sz w:val="20"/>
          <w:szCs w:val="20"/>
          <w:lang w:val="sr-Cyrl-BA" w:eastAsia="en-US"/>
        </w:rPr>
        <w:t>а у 2023. години</w:t>
      </w:r>
      <w:r w:rsidRPr="00C969EE">
        <w:rPr>
          <w:rFonts w:asciiTheme="minorHAnsi" w:eastAsia="Calibri" w:hAnsiTheme="minorHAnsi"/>
          <w:color w:val="000000" w:themeColor="text1"/>
          <w:sz w:val="20"/>
          <w:szCs w:val="20"/>
          <w:lang w:val="sr-Cyrl-BA" w:eastAsia="en-US"/>
        </w:rPr>
        <w:t>.</w:t>
      </w:r>
      <w:r>
        <w:rPr>
          <w:rFonts w:asciiTheme="minorHAnsi" w:eastAsia="Calibri" w:hAnsiTheme="minorHAnsi"/>
          <w:color w:val="000000" w:themeColor="text1"/>
          <w:sz w:val="20"/>
          <w:szCs w:val="20"/>
          <w:lang w:val="sr-Cyrl-BA" w:eastAsia="en-US"/>
        </w:rPr>
        <w:t xml:space="preserve"> </w:t>
      </w:r>
      <w:r>
        <w:rPr>
          <w:rFonts w:asciiTheme="minorHAnsi" w:eastAsia="Calibri" w:hAnsiTheme="minorHAnsi"/>
          <w:color w:val="000000" w:themeColor="text1"/>
          <w:sz w:val="20"/>
          <w:szCs w:val="20"/>
          <w:lang w:val="sr-Cyrl-RS" w:eastAsia="en-US"/>
        </w:rPr>
        <w:t xml:space="preserve">Остварени губитак је износио </w:t>
      </w:r>
      <w:r w:rsidR="003B2D9A" w:rsidRPr="00C969EE">
        <w:rPr>
          <w:rFonts w:asciiTheme="minorHAnsi" w:eastAsia="Calibri" w:hAnsiTheme="minorHAnsi"/>
          <w:color w:val="000000" w:themeColor="text1"/>
          <w:sz w:val="20"/>
          <w:szCs w:val="20"/>
          <w:lang w:val="sr-Cyrl-BA" w:eastAsia="en-US"/>
        </w:rPr>
        <w:t>1.785.699,11</w:t>
      </w:r>
      <w:r w:rsidR="001538EF" w:rsidRPr="00C969EE">
        <w:rPr>
          <w:rFonts w:asciiTheme="minorHAnsi" w:eastAsia="Calibri" w:hAnsiTheme="minorHAnsi"/>
          <w:color w:val="000000" w:themeColor="text1"/>
          <w:sz w:val="20"/>
          <w:szCs w:val="20"/>
          <w:lang w:val="sr-Cyrl-BA" w:eastAsia="en-US"/>
        </w:rPr>
        <w:t xml:space="preserve"> КМ.</w:t>
      </w:r>
      <w:r w:rsidR="00093857" w:rsidRPr="00C969EE">
        <w:rPr>
          <w:rFonts w:asciiTheme="minorHAnsi" w:eastAsia="Calibri" w:hAnsiTheme="minorHAnsi"/>
          <w:color w:val="000000" w:themeColor="text1"/>
          <w:sz w:val="20"/>
          <w:szCs w:val="20"/>
          <w:lang w:val="sr-Cyrl-BA" w:eastAsia="en-US"/>
        </w:rPr>
        <w:t xml:space="preserve"> </w:t>
      </w:r>
      <w:r>
        <w:rPr>
          <w:rFonts w:asciiTheme="minorHAnsi" w:eastAsia="Calibri" w:hAnsiTheme="minorHAnsi"/>
          <w:color w:val="000000" w:themeColor="text1"/>
          <w:sz w:val="20"/>
          <w:szCs w:val="20"/>
          <w:lang w:val="sr-Cyrl-BA" w:eastAsia="en-US"/>
        </w:rPr>
        <w:t>Остварени резултат</w:t>
      </w:r>
      <w:r w:rsidR="00093857" w:rsidRPr="00C969EE">
        <w:rPr>
          <w:rFonts w:asciiTheme="minorHAnsi" w:eastAsia="Calibri" w:hAnsiTheme="minorHAnsi"/>
          <w:color w:val="000000" w:themeColor="text1"/>
          <w:sz w:val="20"/>
          <w:szCs w:val="20"/>
          <w:lang w:val="sr-Cyrl-BA" w:eastAsia="en-US"/>
        </w:rPr>
        <w:t xml:space="preserve"> је у директној вези са неостварењем плана прихода од изданих гаранција, односно неостварењем плана гаранција по свим основама за дату годину</w:t>
      </w:r>
      <w:r>
        <w:rPr>
          <w:rFonts w:asciiTheme="minorHAnsi" w:eastAsia="Calibri" w:hAnsiTheme="minorHAnsi"/>
          <w:color w:val="000000" w:themeColor="text1"/>
          <w:sz w:val="20"/>
          <w:szCs w:val="20"/>
          <w:lang w:val="sr-Cyrl-BA" w:eastAsia="en-US"/>
        </w:rPr>
        <w:t xml:space="preserve"> и</w:t>
      </w:r>
      <w:r w:rsidR="00093857" w:rsidRPr="00C969EE">
        <w:rPr>
          <w:rFonts w:asciiTheme="minorHAnsi" w:eastAsia="Calibri" w:hAnsiTheme="minorHAnsi"/>
          <w:color w:val="000000" w:themeColor="text1"/>
          <w:sz w:val="20"/>
          <w:szCs w:val="20"/>
          <w:lang w:val="sr-Cyrl-BA" w:eastAsia="en-US"/>
        </w:rPr>
        <w:t xml:space="preserve"> повећање</w:t>
      </w:r>
      <w:r>
        <w:rPr>
          <w:rFonts w:asciiTheme="minorHAnsi" w:eastAsia="Calibri" w:hAnsiTheme="minorHAnsi"/>
          <w:color w:val="000000" w:themeColor="text1"/>
          <w:sz w:val="20"/>
          <w:szCs w:val="20"/>
          <w:lang w:val="sr-Cyrl-BA" w:eastAsia="en-US"/>
        </w:rPr>
        <w:t>м</w:t>
      </w:r>
      <w:r w:rsidR="00093857" w:rsidRPr="00C969EE">
        <w:rPr>
          <w:rFonts w:asciiTheme="minorHAnsi" w:eastAsia="Calibri" w:hAnsiTheme="minorHAnsi"/>
          <w:color w:val="000000" w:themeColor="text1"/>
          <w:sz w:val="20"/>
          <w:szCs w:val="20"/>
          <w:lang w:val="sr-Cyrl-BA" w:eastAsia="en-US"/>
        </w:rPr>
        <w:t xml:space="preserve"> расхода који се нису могли предвидјети</w:t>
      </w:r>
      <w:r>
        <w:rPr>
          <w:rFonts w:asciiTheme="minorHAnsi" w:eastAsia="Calibri" w:hAnsiTheme="minorHAnsi"/>
          <w:color w:val="000000" w:themeColor="text1"/>
          <w:sz w:val="20"/>
          <w:szCs w:val="20"/>
          <w:lang w:val="sr-Cyrl-BA" w:eastAsia="en-US"/>
        </w:rPr>
        <w:t xml:space="preserve">.  </w:t>
      </w:r>
    </w:p>
    <w:p w14:paraId="6D5709F0" w14:textId="77777777" w:rsidR="001538EF" w:rsidRPr="005D0BE8" w:rsidRDefault="001538EF" w:rsidP="001538EF">
      <w:pPr>
        <w:rPr>
          <w:rFonts w:asciiTheme="minorHAnsi" w:eastAsia="Calibri" w:hAnsiTheme="minorHAnsi"/>
          <w:color w:val="FF0000"/>
          <w:sz w:val="20"/>
          <w:szCs w:val="20"/>
          <w:lang w:val="sr-Cyrl-BA" w:eastAsia="en-US"/>
        </w:rPr>
      </w:pPr>
    </w:p>
    <w:p w14:paraId="3F253AAB" w14:textId="77777777" w:rsidR="001538EF" w:rsidRPr="00C83692" w:rsidRDefault="001538EF" w:rsidP="001538EF">
      <w:pPr>
        <w:rPr>
          <w:rFonts w:asciiTheme="minorHAnsi" w:eastAsia="Calibri" w:hAnsiTheme="minorHAnsi"/>
          <w:color w:val="000000" w:themeColor="text1"/>
          <w:sz w:val="20"/>
          <w:szCs w:val="20"/>
          <w:lang w:val="sr-Cyrl-BA" w:eastAsia="en-US"/>
        </w:rPr>
      </w:pPr>
      <w:r w:rsidRPr="00C83692">
        <w:rPr>
          <w:rFonts w:asciiTheme="minorHAnsi" w:eastAsiaTheme="minorHAnsi" w:hAnsiTheme="minorHAnsi"/>
          <w:color w:val="000000" w:themeColor="text1"/>
          <w:sz w:val="20"/>
          <w:szCs w:val="20"/>
          <w:lang w:val="sr-Latn-RS" w:eastAsia="en-US"/>
        </w:rPr>
        <w:t>Ревизију финансијских извјештаја за пословну 202</w:t>
      </w:r>
      <w:r w:rsidR="00C83692" w:rsidRPr="00C83692">
        <w:rPr>
          <w:rFonts w:asciiTheme="minorHAnsi" w:eastAsiaTheme="minorHAnsi" w:hAnsiTheme="minorHAnsi"/>
          <w:color w:val="000000" w:themeColor="text1"/>
          <w:sz w:val="20"/>
          <w:szCs w:val="20"/>
          <w:lang w:val="sr-Cyrl-BA" w:eastAsia="en-US"/>
        </w:rPr>
        <w:t>3</w:t>
      </w:r>
      <w:r w:rsidRPr="00C83692">
        <w:rPr>
          <w:rFonts w:asciiTheme="minorHAnsi" w:eastAsiaTheme="minorHAnsi" w:hAnsiTheme="minorHAnsi"/>
          <w:color w:val="000000" w:themeColor="text1"/>
          <w:sz w:val="20"/>
          <w:szCs w:val="20"/>
          <w:lang w:val="sr-Latn-RS" w:eastAsia="en-US"/>
        </w:rPr>
        <w:t>. годину је обавила ревизорска кућа „Ревизор“ д.о.о.</w:t>
      </w:r>
      <w:r w:rsidRPr="00C83692">
        <w:rPr>
          <w:rFonts w:asciiTheme="minorHAnsi" w:eastAsiaTheme="minorHAnsi" w:hAnsiTheme="minorHAnsi"/>
          <w:color w:val="000000" w:themeColor="text1"/>
          <w:sz w:val="20"/>
          <w:szCs w:val="20"/>
          <w:lang w:val="sr-Cyrl-BA" w:eastAsia="en-US"/>
        </w:rPr>
        <w:t xml:space="preserve"> </w:t>
      </w:r>
      <w:r w:rsidRPr="00C83692">
        <w:rPr>
          <w:rFonts w:asciiTheme="minorHAnsi" w:eastAsiaTheme="minorHAnsi" w:hAnsiTheme="minorHAnsi"/>
          <w:color w:val="000000" w:themeColor="text1"/>
          <w:sz w:val="20"/>
          <w:szCs w:val="20"/>
          <w:lang w:val="sr-Latn-RS" w:eastAsia="en-US"/>
        </w:rPr>
        <w:t>Добој и достави</w:t>
      </w:r>
      <w:r w:rsidRPr="00C83692">
        <w:rPr>
          <w:rFonts w:asciiTheme="minorHAnsi" w:eastAsiaTheme="minorHAnsi" w:hAnsiTheme="minorHAnsi"/>
          <w:color w:val="000000" w:themeColor="text1"/>
          <w:sz w:val="20"/>
          <w:szCs w:val="20"/>
          <w:lang w:val="sr-Cyrl-BA" w:eastAsia="en-US"/>
        </w:rPr>
        <w:t>ла</w:t>
      </w:r>
      <w:r w:rsidRPr="00C83692">
        <w:rPr>
          <w:rFonts w:asciiTheme="minorHAnsi" w:eastAsiaTheme="minorHAnsi" w:hAnsiTheme="minorHAnsi"/>
          <w:color w:val="000000" w:themeColor="text1"/>
          <w:sz w:val="20"/>
          <w:szCs w:val="20"/>
          <w:lang w:val="sr-Latn-RS" w:eastAsia="en-US"/>
        </w:rPr>
        <w:t xml:space="preserve"> следеће мишљење:</w:t>
      </w:r>
      <w:r w:rsidRPr="00C83692">
        <w:rPr>
          <w:rFonts w:asciiTheme="minorHAnsi" w:eastAsia="Calibri" w:hAnsiTheme="minorHAnsi"/>
          <w:color w:val="000000" w:themeColor="text1"/>
          <w:sz w:val="20"/>
          <w:szCs w:val="20"/>
          <w:lang w:val="sr-Cyrl-BA" w:eastAsia="en-US"/>
        </w:rPr>
        <w:tab/>
      </w:r>
    </w:p>
    <w:p w14:paraId="12487CFA" w14:textId="77777777" w:rsidR="001538EF" w:rsidRPr="00C83692" w:rsidRDefault="001538EF" w:rsidP="001538EF">
      <w:pPr>
        <w:rPr>
          <w:rFonts w:asciiTheme="minorHAnsi" w:hAnsiTheme="minorHAnsi"/>
          <w:color w:val="000000" w:themeColor="text1"/>
          <w:sz w:val="20"/>
          <w:szCs w:val="20"/>
        </w:rPr>
      </w:pPr>
      <w:r w:rsidRPr="00C83692">
        <w:rPr>
          <w:rFonts w:asciiTheme="minorHAnsi" w:hAnsiTheme="minorHAnsi"/>
          <w:color w:val="000000" w:themeColor="text1"/>
          <w:sz w:val="20"/>
          <w:szCs w:val="20"/>
          <w:lang w:val="sr-Cyrl-BA"/>
        </w:rPr>
        <w:t>„</w:t>
      </w:r>
      <w:r w:rsidRPr="00C83692">
        <w:rPr>
          <w:rFonts w:asciiTheme="minorHAnsi" w:hAnsiTheme="minorHAnsi"/>
          <w:color w:val="000000" w:themeColor="text1"/>
          <w:sz w:val="20"/>
          <w:szCs w:val="20"/>
          <w:lang w:val="sr-Latn-CS"/>
        </w:rPr>
        <w:t xml:space="preserve">По нашем мишљењу, приложени финансијски извјештаји приказују </w:t>
      </w:r>
      <w:r w:rsidRPr="00C83692">
        <w:rPr>
          <w:rFonts w:asciiTheme="minorHAnsi" w:hAnsiTheme="minorHAnsi"/>
          <w:b/>
          <w:color w:val="000000" w:themeColor="text1"/>
          <w:sz w:val="20"/>
          <w:szCs w:val="20"/>
          <w:lang w:val="sr-Latn-CS"/>
        </w:rPr>
        <w:t>истинито и објективно</w:t>
      </w:r>
      <w:r w:rsidRPr="00C83692">
        <w:rPr>
          <w:rFonts w:asciiTheme="minorHAnsi" w:hAnsiTheme="minorHAnsi"/>
          <w:color w:val="000000" w:themeColor="text1"/>
          <w:sz w:val="20"/>
          <w:szCs w:val="20"/>
          <w:lang w:val="sr-Latn-CS"/>
        </w:rPr>
        <w:t>, по свим материјално значајним питањима, финансијско стање Фонда, на дан 31. децембра 202</w:t>
      </w:r>
      <w:r w:rsidR="00C83692" w:rsidRPr="00C83692">
        <w:rPr>
          <w:rFonts w:asciiTheme="minorHAnsi" w:hAnsiTheme="minorHAnsi"/>
          <w:color w:val="000000" w:themeColor="text1"/>
          <w:sz w:val="20"/>
          <w:szCs w:val="20"/>
          <w:lang w:val="sr-Cyrl-RS"/>
        </w:rPr>
        <w:t>3</w:t>
      </w:r>
      <w:r w:rsidRPr="00C83692">
        <w:rPr>
          <w:rFonts w:asciiTheme="minorHAnsi" w:hAnsiTheme="minorHAnsi"/>
          <w:color w:val="000000" w:themeColor="text1"/>
          <w:sz w:val="20"/>
          <w:szCs w:val="20"/>
          <w:lang w:val="sr-Latn-CS"/>
        </w:rPr>
        <w:t xml:space="preserve">.  године, резултате његовог пословања и новчане токове за годину која се завршава на тај дан, </w:t>
      </w:r>
      <w:r w:rsidRPr="00C83692">
        <w:rPr>
          <w:rFonts w:asciiTheme="minorHAnsi" w:hAnsiTheme="minorHAnsi"/>
          <w:color w:val="000000" w:themeColor="text1"/>
          <w:sz w:val="20"/>
          <w:szCs w:val="20"/>
          <w:lang w:val="sr-Cyrl-CS"/>
        </w:rPr>
        <w:t>у скл</w:t>
      </w:r>
      <w:r w:rsidRPr="00C83692">
        <w:rPr>
          <w:rFonts w:asciiTheme="minorHAnsi" w:hAnsiTheme="minorHAnsi"/>
          <w:color w:val="000000" w:themeColor="text1"/>
          <w:sz w:val="20"/>
          <w:szCs w:val="20"/>
          <w:lang w:val="sr-Latn-CS"/>
        </w:rPr>
        <w:t>а</w:t>
      </w:r>
      <w:r w:rsidRPr="00C83692">
        <w:rPr>
          <w:rFonts w:asciiTheme="minorHAnsi" w:hAnsiTheme="minorHAnsi"/>
          <w:color w:val="000000" w:themeColor="text1"/>
          <w:sz w:val="20"/>
          <w:szCs w:val="20"/>
          <w:lang w:val="sr-Cyrl-CS"/>
        </w:rPr>
        <w:t xml:space="preserve">ду с </w:t>
      </w:r>
      <w:r w:rsidRPr="00C83692">
        <w:rPr>
          <w:rFonts w:asciiTheme="minorHAnsi" w:hAnsiTheme="minorHAnsi"/>
          <w:color w:val="000000" w:themeColor="text1"/>
          <w:sz w:val="20"/>
          <w:szCs w:val="20"/>
          <w:lang w:val="en-GB"/>
        </w:rPr>
        <w:t>рачуноводственим прописима Републике Српске</w:t>
      </w:r>
      <w:r w:rsidRPr="00C83692">
        <w:rPr>
          <w:rFonts w:asciiTheme="minorHAnsi" w:hAnsiTheme="minorHAnsi"/>
          <w:color w:val="000000" w:themeColor="text1"/>
          <w:sz w:val="20"/>
          <w:szCs w:val="20"/>
          <w:lang w:val="sr-Cyrl-BA"/>
        </w:rPr>
        <w:t>“.</w:t>
      </w:r>
    </w:p>
    <w:p w14:paraId="01EF47E9" w14:textId="77777777" w:rsidR="001538EF" w:rsidRPr="005D0BE8" w:rsidRDefault="001538EF" w:rsidP="001538EF">
      <w:pPr>
        <w:autoSpaceDE w:val="0"/>
        <w:autoSpaceDN w:val="0"/>
        <w:adjustRightInd w:val="0"/>
        <w:jc w:val="left"/>
        <w:rPr>
          <w:rFonts w:asciiTheme="minorHAnsi" w:eastAsiaTheme="minorHAnsi" w:hAnsiTheme="minorHAnsi"/>
          <w:color w:val="FF0000"/>
          <w:sz w:val="20"/>
          <w:szCs w:val="20"/>
          <w:lang w:val="sr-Latn-RS" w:eastAsia="en-US"/>
        </w:rPr>
      </w:pPr>
    </w:p>
    <w:p w14:paraId="53A654E4" w14:textId="77777777" w:rsidR="001538EF" w:rsidRPr="00C83692" w:rsidRDefault="001538EF" w:rsidP="001538EF">
      <w:pPr>
        <w:autoSpaceDE w:val="0"/>
        <w:autoSpaceDN w:val="0"/>
        <w:adjustRightInd w:val="0"/>
        <w:rPr>
          <w:rFonts w:asciiTheme="minorHAnsi" w:eastAsiaTheme="minorHAnsi" w:hAnsiTheme="minorHAnsi"/>
          <w:color w:val="000000" w:themeColor="text1"/>
          <w:sz w:val="20"/>
          <w:szCs w:val="20"/>
          <w:lang w:val="sr-Latn-RS" w:eastAsia="en-US"/>
        </w:rPr>
      </w:pPr>
      <w:r w:rsidRPr="00C83692">
        <w:rPr>
          <w:rFonts w:asciiTheme="minorHAnsi" w:eastAsiaTheme="minorHAnsi" w:hAnsiTheme="minorHAnsi"/>
          <w:color w:val="000000" w:themeColor="text1"/>
          <w:sz w:val="20"/>
          <w:szCs w:val="20"/>
          <w:lang w:val="sr-Latn-RS" w:eastAsia="en-US"/>
        </w:rPr>
        <w:t xml:space="preserve">У складу са одредбом члана 30. став 1. тачка. Статута Гарантног фонда Републике Српске а.д. Бања Лука, овај </w:t>
      </w:r>
      <w:r w:rsidRPr="00C83692">
        <w:rPr>
          <w:rFonts w:asciiTheme="minorHAnsi" w:eastAsiaTheme="minorHAnsi" w:hAnsiTheme="minorHAnsi"/>
          <w:color w:val="000000" w:themeColor="text1"/>
          <w:sz w:val="20"/>
          <w:szCs w:val="20"/>
          <w:lang w:val="sr-Cyrl-BA" w:eastAsia="en-US"/>
        </w:rPr>
        <w:t>Нацрт И</w:t>
      </w:r>
      <w:r w:rsidRPr="00C83692">
        <w:rPr>
          <w:rFonts w:asciiTheme="minorHAnsi" w:eastAsiaTheme="minorHAnsi" w:hAnsiTheme="minorHAnsi"/>
          <w:color w:val="000000" w:themeColor="text1"/>
          <w:sz w:val="20"/>
          <w:szCs w:val="20"/>
          <w:lang w:val="sr-Latn-RS" w:eastAsia="en-US"/>
        </w:rPr>
        <w:t>звјештаја о раду и пословању за 202</w:t>
      </w:r>
      <w:r w:rsidR="00C83692" w:rsidRPr="00C83692">
        <w:rPr>
          <w:rFonts w:asciiTheme="minorHAnsi" w:eastAsiaTheme="minorHAnsi" w:hAnsiTheme="minorHAnsi"/>
          <w:color w:val="000000" w:themeColor="text1"/>
          <w:sz w:val="20"/>
          <w:szCs w:val="20"/>
          <w:lang w:val="sr-Cyrl-BA" w:eastAsia="en-US"/>
        </w:rPr>
        <w:t>3</w:t>
      </w:r>
      <w:r w:rsidRPr="00C83692">
        <w:rPr>
          <w:rFonts w:asciiTheme="minorHAnsi" w:eastAsiaTheme="minorHAnsi" w:hAnsiTheme="minorHAnsi"/>
          <w:color w:val="000000" w:themeColor="text1"/>
          <w:sz w:val="20"/>
          <w:szCs w:val="20"/>
          <w:lang w:val="sr-Latn-RS" w:eastAsia="en-US"/>
        </w:rPr>
        <w:t xml:space="preserve">. годину усваја Скупштина акционара, а исти након усвајања, у складу са одредбом члана 27. Закона о Гарантном фонду Републике Српске доставља на разматрање и усвајање Народној Скупштини Републике Српске. </w:t>
      </w:r>
    </w:p>
    <w:p w14:paraId="2F137EDB"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19F661BE"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1C1062C2"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3BA970D0" w14:textId="77777777" w:rsidR="001538EF" w:rsidRPr="00C83692" w:rsidRDefault="001538EF" w:rsidP="001538EF">
      <w:pPr>
        <w:autoSpaceDE w:val="0"/>
        <w:autoSpaceDN w:val="0"/>
        <w:adjustRightInd w:val="0"/>
        <w:jc w:val="left"/>
        <w:rPr>
          <w:rFonts w:asciiTheme="minorHAnsi" w:eastAsiaTheme="minorHAnsi" w:hAnsiTheme="minorHAnsi"/>
          <w:sz w:val="20"/>
          <w:szCs w:val="20"/>
          <w:lang w:val="sr-Cyrl-RS" w:eastAsia="en-US"/>
        </w:rPr>
      </w:pPr>
      <w:r w:rsidRPr="005767EF">
        <w:rPr>
          <w:rFonts w:asciiTheme="minorHAnsi" w:eastAsiaTheme="minorHAnsi" w:hAnsiTheme="minorHAnsi"/>
          <w:sz w:val="20"/>
          <w:szCs w:val="20"/>
          <w:lang w:val="sr-Latn-RS" w:eastAsia="en-US"/>
        </w:rPr>
        <w:t>Број: 02-</w:t>
      </w:r>
      <w:r w:rsidR="006F5BAE">
        <w:rPr>
          <w:rFonts w:asciiTheme="minorHAnsi" w:eastAsiaTheme="minorHAnsi" w:hAnsiTheme="minorHAnsi"/>
          <w:sz w:val="20"/>
          <w:szCs w:val="20"/>
          <w:lang w:val="sr-Cyrl-RS" w:eastAsia="en-US"/>
        </w:rPr>
        <w:t>167</w:t>
      </w:r>
      <w:r w:rsidR="00C83692">
        <w:rPr>
          <w:rFonts w:asciiTheme="minorHAnsi" w:eastAsiaTheme="minorHAnsi" w:hAnsiTheme="minorHAnsi"/>
          <w:sz w:val="20"/>
          <w:szCs w:val="20"/>
          <w:lang w:val="sr-Latn-RS" w:eastAsia="en-US"/>
        </w:rPr>
        <w:t>/2</w:t>
      </w:r>
      <w:r w:rsidR="00C83692">
        <w:rPr>
          <w:rFonts w:asciiTheme="minorHAnsi" w:eastAsiaTheme="minorHAnsi" w:hAnsiTheme="minorHAnsi"/>
          <w:sz w:val="20"/>
          <w:szCs w:val="20"/>
          <w:lang w:val="sr-Cyrl-RS" w:eastAsia="en-US"/>
        </w:rPr>
        <w:t>4</w:t>
      </w:r>
    </w:p>
    <w:p w14:paraId="6E59A836" w14:textId="77777777" w:rsidR="001538EF" w:rsidRPr="006F5BAE" w:rsidRDefault="001538EF" w:rsidP="001538EF">
      <w:pPr>
        <w:autoSpaceDE w:val="0"/>
        <w:autoSpaceDN w:val="0"/>
        <w:adjustRightInd w:val="0"/>
        <w:jc w:val="left"/>
        <w:rPr>
          <w:rFonts w:asciiTheme="minorHAnsi" w:eastAsiaTheme="minorHAnsi" w:hAnsiTheme="minorHAnsi"/>
          <w:color w:val="auto"/>
          <w:sz w:val="20"/>
          <w:szCs w:val="20"/>
          <w:lang w:val="sr-Latn-RS" w:eastAsia="en-US"/>
        </w:rPr>
      </w:pPr>
      <w:r w:rsidRPr="006F5BAE">
        <w:rPr>
          <w:rFonts w:asciiTheme="minorHAnsi" w:eastAsiaTheme="minorHAnsi" w:hAnsiTheme="minorHAnsi"/>
          <w:color w:val="auto"/>
          <w:sz w:val="20"/>
          <w:szCs w:val="20"/>
          <w:lang w:val="sr-Latn-RS" w:eastAsia="en-US"/>
        </w:rPr>
        <w:t xml:space="preserve">Дана: </w:t>
      </w:r>
      <w:r w:rsidR="00093857" w:rsidRPr="006F5BAE">
        <w:rPr>
          <w:rFonts w:asciiTheme="minorHAnsi" w:eastAsiaTheme="minorHAnsi" w:hAnsiTheme="minorHAnsi"/>
          <w:color w:val="auto"/>
          <w:sz w:val="20"/>
          <w:szCs w:val="20"/>
          <w:lang w:val="sr-Cyrl-RS" w:eastAsia="en-US"/>
        </w:rPr>
        <w:t>1</w:t>
      </w:r>
      <w:r w:rsidR="006F5BAE" w:rsidRPr="006F5BAE">
        <w:rPr>
          <w:rFonts w:asciiTheme="minorHAnsi" w:eastAsiaTheme="minorHAnsi" w:hAnsiTheme="minorHAnsi"/>
          <w:color w:val="auto"/>
          <w:sz w:val="20"/>
          <w:szCs w:val="20"/>
          <w:lang w:val="sr-Cyrl-RS" w:eastAsia="en-US"/>
        </w:rPr>
        <w:t>9</w:t>
      </w:r>
      <w:r w:rsidRPr="006F5BAE">
        <w:rPr>
          <w:rFonts w:asciiTheme="minorHAnsi" w:eastAsiaTheme="minorHAnsi" w:hAnsiTheme="minorHAnsi"/>
          <w:color w:val="auto"/>
          <w:sz w:val="20"/>
          <w:szCs w:val="20"/>
          <w:lang w:val="sr-Latn-RS" w:eastAsia="en-US"/>
        </w:rPr>
        <w:t>.0</w:t>
      </w:r>
      <w:r w:rsidR="00093857" w:rsidRPr="006F5BAE">
        <w:rPr>
          <w:rFonts w:asciiTheme="minorHAnsi" w:eastAsiaTheme="minorHAnsi" w:hAnsiTheme="minorHAnsi"/>
          <w:color w:val="auto"/>
          <w:sz w:val="20"/>
          <w:szCs w:val="20"/>
          <w:lang w:val="sr-Cyrl-RS" w:eastAsia="en-US"/>
        </w:rPr>
        <w:t>6</w:t>
      </w:r>
      <w:r w:rsidRPr="006F5BAE">
        <w:rPr>
          <w:rFonts w:asciiTheme="minorHAnsi" w:eastAsiaTheme="minorHAnsi" w:hAnsiTheme="minorHAnsi"/>
          <w:color w:val="auto"/>
          <w:sz w:val="20"/>
          <w:szCs w:val="20"/>
          <w:lang w:val="sr-Latn-RS" w:eastAsia="en-US"/>
        </w:rPr>
        <w:t>.202</w:t>
      </w:r>
      <w:r w:rsidR="00C83692" w:rsidRPr="006F5BAE">
        <w:rPr>
          <w:rFonts w:asciiTheme="minorHAnsi" w:eastAsiaTheme="minorHAnsi" w:hAnsiTheme="minorHAnsi"/>
          <w:color w:val="auto"/>
          <w:sz w:val="20"/>
          <w:szCs w:val="20"/>
          <w:lang w:val="sr-Cyrl-RS" w:eastAsia="en-US"/>
        </w:rPr>
        <w:t>4</w:t>
      </w:r>
      <w:r w:rsidRPr="006F5BAE">
        <w:rPr>
          <w:rFonts w:asciiTheme="minorHAnsi" w:eastAsiaTheme="minorHAnsi" w:hAnsiTheme="minorHAnsi"/>
          <w:color w:val="auto"/>
          <w:sz w:val="20"/>
          <w:szCs w:val="20"/>
          <w:lang w:val="sr-Latn-RS" w:eastAsia="en-US"/>
        </w:rPr>
        <w:t xml:space="preserve">. </w:t>
      </w:r>
      <w:r w:rsidRPr="006F5BAE">
        <w:rPr>
          <w:rFonts w:asciiTheme="minorHAnsi" w:eastAsiaTheme="minorHAnsi" w:hAnsiTheme="minorHAnsi"/>
          <w:color w:val="auto"/>
          <w:sz w:val="20"/>
          <w:szCs w:val="20"/>
          <w:lang w:val="sr-Cyrl-BA" w:eastAsia="en-US"/>
        </w:rPr>
        <w:t>године</w:t>
      </w:r>
      <w:r w:rsidRPr="006F5BAE">
        <w:rPr>
          <w:rFonts w:asciiTheme="minorHAnsi" w:eastAsiaTheme="minorHAnsi" w:hAnsiTheme="minorHAnsi"/>
          <w:color w:val="auto"/>
          <w:sz w:val="20"/>
          <w:szCs w:val="20"/>
          <w:lang w:val="sr-Latn-RS" w:eastAsia="en-US"/>
        </w:rPr>
        <w:t xml:space="preserve"> </w:t>
      </w:r>
    </w:p>
    <w:p w14:paraId="009718DB" w14:textId="77777777" w:rsidR="001538EF" w:rsidRPr="005767EF" w:rsidRDefault="001538EF" w:rsidP="001538EF">
      <w:pPr>
        <w:rPr>
          <w:rFonts w:asciiTheme="minorHAnsi" w:hAnsiTheme="minorHAnsi"/>
          <w:b/>
          <w:caps/>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00C83692">
        <w:rPr>
          <w:rFonts w:asciiTheme="minorHAnsi" w:hAnsiTheme="minorHAnsi"/>
          <w:sz w:val="20"/>
          <w:szCs w:val="20"/>
          <w:lang w:val="sr-Cyrl-RS"/>
        </w:rPr>
        <w:t xml:space="preserve">                         </w:t>
      </w:r>
      <w:r w:rsidRPr="005767EF">
        <w:rPr>
          <w:rFonts w:asciiTheme="minorHAnsi" w:hAnsiTheme="minorHAnsi"/>
          <w:b/>
          <w:caps/>
          <w:sz w:val="20"/>
          <w:szCs w:val="20"/>
          <w:lang w:val="sr-Cyrl-BA"/>
        </w:rPr>
        <w:t>Гарантни фонд Републике Српске</w:t>
      </w:r>
    </w:p>
    <w:p w14:paraId="3FA13923"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p>
    <w:p w14:paraId="2719DAAB"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sidR="00C83692">
        <w:rPr>
          <w:rFonts w:asciiTheme="minorHAnsi" w:hAnsiTheme="minorHAnsi"/>
          <w:sz w:val="20"/>
          <w:szCs w:val="20"/>
          <w:lang w:val="sr-Cyrl-BA"/>
        </w:rPr>
        <w:t xml:space="preserve">                                </w:t>
      </w:r>
      <w:r w:rsidRPr="005767EF">
        <w:rPr>
          <w:rFonts w:asciiTheme="minorHAnsi" w:hAnsiTheme="minorHAnsi"/>
          <w:sz w:val="20"/>
          <w:szCs w:val="20"/>
          <w:lang w:val="sr-Cyrl-BA"/>
        </w:rPr>
        <w:t>_________________________________</w:t>
      </w:r>
    </w:p>
    <w:p w14:paraId="25E6A717"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00C83692">
        <w:rPr>
          <w:rFonts w:asciiTheme="minorHAnsi" w:hAnsiTheme="minorHAnsi"/>
          <w:sz w:val="20"/>
          <w:szCs w:val="20"/>
          <w:lang w:val="sr-Cyrl-BA"/>
        </w:rPr>
        <w:t xml:space="preserve"> </w:t>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sidRPr="005767EF">
        <w:rPr>
          <w:rFonts w:asciiTheme="minorHAnsi" w:hAnsiTheme="minorHAnsi"/>
          <w:sz w:val="20"/>
          <w:szCs w:val="20"/>
          <w:lang w:val="sr-Cyrl-BA"/>
        </w:rPr>
        <w:tab/>
      </w:r>
    </w:p>
    <w:p w14:paraId="1CA4F673" w14:textId="73B60870"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 xml:space="preserve">                                                                                                                   </w:t>
      </w:r>
      <w:r w:rsidR="00F823E7">
        <w:rPr>
          <w:rFonts w:asciiTheme="minorHAnsi" w:hAnsiTheme="minorHAnsi"/>
          <w:sz w:val="20"/>
          <w:szCs w:val="20"/>
          <w:lang w:val="sr-Cyrl-BA"/>
        </w:rPr>
        <w:t xml:space="preserve">                          в</w:t>
      </w:r>
      <w:r w:rsidR="00C83692">
        <w:rPr>
          <w:rFonts w:asciiTheme="minorHAnsi" w:hAnsiTheme="minorHAnsi"/>
          <w:sz w:val="20"/>
          <w:szCs w:val="20"/>
          <w:lang w:val="sr-Cyrl-BA"/>
        </w:rPr>
        <w:t xml:space="preserve">.д. </w:t>
      </w:r>
      <w:r w:rsidRPr="005767EF">
        <w:rPr>
          <w:rFonts w:asciiTheme="minorHAnsi" w:hAnsiTheme="minorHAnsi"/>
          <w:sz w:val="20"/>
          <w:szCs w:val="20"/>
          <w:lang w:val="sr-Cyrl-BA"/>
        </w:rPr>
        <w:t xml:space="preserve"> </w:t>
      </w:r>
      <w:r w:rsidR="00F823E7">
        <w:rPr>
          <w:rFonts w:asciiTheme="minorHAnsi" w:hAnsiTheme="minorHAnsi"/>
          <w:sz w:val="20"/>
          <w:szCs w:val="20"/>
          <w:lang w:val="sr-Cyrl-BA"/>
        </w:rPr>
        <w:t>д</w:t>
      </w:r>
      <w:bookmarkStart w:id="21" w:name="_GoBack"/>
      <w:bookmarkEnd w:id="21"/>
      <w:r w:rsidR="00C83692">
        <w:rPr>
          <w:rFonts w:asciiTheme="minorHAnsi" w:hAnsiTheme="minorHAnsi"/>
          <w:sz w:val="20"/>
          <w:szCs w:val="20"/>
          <w:lang w:val="sr-Cyrl-BA"/>
        </w:rPr>
        <w:t>иректо</w:t>
      </w:r>
      <w:r w:rsidRPr="005767EF">
        <w:rPr>
          <w:rFonts w:asciiTheme="minorHAnsi" w:hAnsiTheme="minorHAnsi"/>
          <w:sz w:val="20"/>
          <w:szCs w:val="20"/>
          <w:lang w:val="sr-Cyrl-BA"/>
        </w:rPr>
        <w:t>р</w:t>
      </w:r>
    </w:p>
    <w:p w14:paraId="7F8F4C20" w14:textId="235E7FB3"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00C83692">
        <w:rPr>
          <w:rFonts w:asciiTheme="minorHAnsi" w:hAnsiTheme="minorHAnsi"/>
          <w:sz w:val="20"/>
          <w:szCs w:val="20"/>
          <w:lang w:val="sr-Cyrl-BA"/>
        </w:rPr>
        <w:t xml:space="preserve">                                 Невен Бућан</w:t>
      </w:r>
    </w:p>
    <w:p w14:paraId="37686A3A" w14:textId="77777777" w:rsidR="001538EF" w:rsidRPr="001538EF" w:rsidRDefault="001538EF" w:rsidP="001538EF">
      <w:pPr>
        <w:rPr>
          <w:sz w:val="22"/>
          <w:szCs w:val="22"/>
          <w:lang w:val="sr-Cyrl-CS" w:eastAsia="sr-Cyrl-CS"/>
        </w:rPr>
      </w:pPr>
    </w:p>
    <w:p w14:paraId="3BBFFDA0" w14:textId="77777777" w:rsidR="005F70EB" w:rsidRPr="001538EF" w:rsidRDefault="005F70EB"/>
    <w:sectPr w:rsidR="005F70EB" w:rsidRPr="001538EF" w:rsidSect="00C12ECB">
      <w:headerReference w:type="default" r:id="rId9"/>
      <w:footerReference w:type="default" r:id="rId10"/>
      <w:pgSz w:w="11906" w:h="16838" w:code="9"/>
      <w:pgMar w:top="1418" w:right="1418"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36C25" w14:textId="77777777" w:rsidR="00FD6568" w:rsidRDefault="00FD6568" w:rsidP="001538EF">
      <w:r>
        <w:separator/>
      </w:r>
    </w:p>
  </w:endnote>
  <w:endnote w:type="continuationSeparator" w:id="0">
    <w:p w14:paraId="7615B776" w14:textId="77777777" w:rsidR="00FD6568" w:rsidRDefault="00FD6568" w:rsidP="0015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MPEGO+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66804"/>
      <w:docPartObj>
        <w:docPartGallery w:val="Page Numbers (Bottom of Page)"/>
        <w:docPartUnique/>
      </w:docPartObj>
    </w:sdtPr>
    <w:sdtEndPr>
      <w:rPr>
        <w:noProof/>
      </w:rPr>
    </w:sdtEndPr>
    <w:sdtContent>
      <w:p w14:paraId="221FFC6A" w14:textId="4A8D671C" w:rsidR="00F10264" w:rsidRDefault="00F10264" w:rsidP="001538EF">
        <w:pPr>
          <w:pStyle w:val="Footer"/>
          <w:pBdr>
            <w:top w:val="single" w:sz="4" w:space="1" w:color="auto"/>
          </w:pBdr>
          <w:jc w:val="right"/>
        </w:pPr>
        <w:r>
          <w:fldChar w:fldCharType="begin"/>
        </w:r>
        <w:r>
          <w:instrText xml:space="preserve"> PAGE   \* MERGEFORMAT </w:instrText>
        </w:r>
        <w:r>
          <w:fldChar w:fldCharType="separate"/>
        </w:r>
        <w:r w:rsidR="00F823E7">
          <w:rPr>
            <w:noProof/>
          </w:rPr>
          <w:t>38</w:t>
        </w:r>
        <w:r>
          <w:rPr>
            <w:noProof/>
          </w:rPr>
          <w:fldChar w:fldCharType="end"/>
        </w:r>
      </w:p>
    </w:sdtContent>
  </w:sdt>
  <w:p w14:paraId="40234054" w14:textId="77777777" w:rsidR="00F10264" w:rsidRDefault="00F102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4F8A5" w14:textId="77777777" w:rsidR="00FD6568" w:rsidRDefault="00FD6568" w:rsidP="001538EF">
      <w:r>
        <w:separator/>
      </w:r>
    </w:p>
  </w:footnote>
  <w:footnote w:type="continuationSeparator" w:id="0">
    <w:p w14:paraId="58985B5C" w14:textId="77777777" w:rsidR="00FD6568" w:rsidRDefault="00FD6568" w:rsidP="00153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97665" w14:textId="77777777" w:rsidR="00F10264" w:rsidRPr="005443CD" w:rsidRDefault="00F10264" w:rsidP="001538EF">
    <w:pPr>
      <w:pStyle w:val="Header"/>
      <w:pBdr>
        <w:bottom w:val="single" w:sz="4" w:space="1" w:color="auto"/>
      </w:pBdr>
      <w:tabs>
        <w:tab w:val="clear" w:pos="4320"/>
        <w:tab w:val="clear" w:pos="8640"/>
        <w:tab w:val="right" w:pos="9356"/>
      </w:tabs>
      <w:jc w:val="left"/>
      <w:rPr>
        <w:i/>
        <w:color w:val="000000" w:themeColor="text1"/>
        <w:sz w:val="20"/>
        <w:szCs w:val="20"/>
      </w:rPr>
    </w:pPr>
    <w:r>
      <w:rPr>
        <w:noProof/>
        <w:lang w:val="en-US" w:eastAsia="en-US"/>
      </w:rPr>
      <w:drawing>
        <wp:inline distT="0" distB="0" distL="0" distR="0" wp14:anchorId="13D8A7A5" wp14:editId="79A429DF">
          <wp:extent cx="907655" cy="320331"/>
          <wp:effectExtent l="0" t="0" r="698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dopunske varijante.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7650" cy="320329"/>
                  </a:xfrm>
                  <a:prstGeom prst="rect">
                    <a:avLst/>
                  </a:prstGeom>
                </pic:spPr>
              </pic:pic>
            </a:graphicData>
          </a:graphic>
        </wp:inline>
      </w:drawing>
    </w:r>
    <w:r>
      <w:rPr>
        <w:i/>
        <w:color w:val="000000" w:themeColor="text1"/>
        <w:sz w:val="20"/>
        <w:szCs w:val="20"/>
        <w:lang w:val="sr-Cyrl-BA"/>
      </w:rPr>
      <w:t xml:space="preserve">                              </w:t>
    </w:r>
    <w:r w:rsidRPr="005443CD">
      <w:rPr>
        <w:i/>
        <w:color w:val="000000" w:themeColor="text1"/>
        <w:sz w:val="20"/>
        <w:szCs w:val="20"/>
        <w:lang w:val="sr-Cyrl-BA"/>
      </w:rPr>
      <w:t>Извјештај о раду и послова</w:t>
    </w:r>
    <w:r>
      <w:rPr>
        <w:i/>
        <w:color w:val="000000" w:themeColor="text1"/>
        <w:sz w:val="20"/>
        <w:szCs w:val="20"/>
        <w:lang w:val="sr-Cyrl-BA"/>
      </w:rPr>
      <w:t>њу Гарантног фонда РС за 2023. годину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92F"/>
    <w:multiLevelType w:val="hybridMultilevel"/>
    <w:tmpl w:val="02CCC8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7656FF1"/>
    <w:multiLevelType w:val="multilevel"/>
    <w:tmpl w:val="84D2EA00"/>
    <w:styleLink w:val="Stil2"/>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 w15:restartNumberingAfterBreak="0">
    <w:nsid w:val="08350EA9"/>
    <w:multiLevelType w:val="hybridMultilevel"/>
    <w:tmpl w:val="5D841CB0"/>
    <w:lvl w:ilvl="0" w:tplc="241A0001">
      <w:start w:val="1"/>
      <w:numFmt w:val="bullet"/>
      <w:lvlText w:val=""/>
      <w:lvlJc w:val="left"/>
      <w:pPr>
        <w:ind w:left="1068" w:hanging="360"/>
      </w:pPr>
      <w:rPr>
        <w:rFonts w:ascii="Symbol" w:hAnsi="Symbol" w:hint="default"/>
      </w:rPr>
    </w:lvl>
    <w:lvl w:ilvl="1" w:tplc="241A0003">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 w15:restartNumberingAfterBreak="0">
    <w:nsid w:val="0C2636D8"/>
    <w:multiLevelType w:val="multilevel"/>
    <w:tmpl w:val="B9466AC8"/>
    <w:styleLink w:val="Stil1"/>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EA5509"/>
    <w:multiLevelType w:val="hybridMultilevel"/>
    <w:tmpl w:val="12CA3598"/>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5" w15:restartNumberingAfterBreak="0">
    <w:nsid w:val="29376F85"/>
    <w:multiLevelType w:val="hybridMultilevel"/>
    <w:tmpl w:val="26AC2148"/>
    <w:lvl w:ilvl="0" w:tplc="C17676FC">
      <w:numFmt w:val="bullet"/>
      <w:lvlText w:val="-"/>
      <w:lvlJc w:val="left"/>
      <w:pPr>
        <w:ind w:left="1428"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6" w15:restartNumberingAfterBreak="0">
    <w:nsid w:val="2C67189E"/>
    <w:multiLevelType w:val="hybridMultilevel"/>
    <w:tmpl w:val="4BD6B5F6"/>
    <w:lvl w:ilvl="0" w:tplc="239452E8">
      <w:start w:val="1"/>
      <w:numFmt w:val="upperRoman"/>
      <w:pStyle w:val="Glava"/>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CCD5E83"/>
    <w:multiLevelType w:val="hybridMultilevel"/>
    <w:tmpl w:val="2DC65746"/>
    <w:lvl w:ilvl="0" w:tplc="C17676FC">
      <w:numFmt w:val="bullet"/>
      <w:lvlText w:val="-"/>
      <w:lvlJc w:val="left"/>
      <w:pPr>
        <w:ind w:left="2892"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612" w:hanging="360"/>
      </w:pPr>
      <w:rPr>
        <w:rFonts w:ascii="Courier New" w:hAnsi="Courier New" w:cs="Courier New" w:hint="default"/>
      </w:rPr>
    </w:lvl>
    <w:lvl w:ilvl="2" w:tplc="241A0005" w:tentative="1">
      <w:start w:val="1"/>
      <w:numFmt w:val="bullet"/>
      <w:lvlText w:val=""/>
      <w:lvlJc w:val="left"/>
      <w:pPr>
        <w:ind w:left="4332" w:hanging="360"/>
      </w:pPr>
      <w:rPr>
        <w:rFonts w:ascii="Wingdings" w:hAnsi="Wingdings" w:hint="default"/>
      </w:rPr>
    </w:lvl>
    <w:lvl w:ilvl="3" w:tplc="241A0001" w:tentative="1">
      <w:start w:val="1"/>
      <w:numFmt w:val="bullet"/>
      <w:lvlText w:val=""/>
      <w:lvlJc w:val="left"/>
      <w:pPr>
        <w:ind w:left="5052" w:hanging="360"/>
      </w:pPr>
      <w:rPr>
        <w:rFonts w:ascii="Symbol" w:hAnsi="Symbol" w:hint="default"/>
      </w:rPr>
    </w:lvl>
    <w:lvl w:ilvl="4" w:tplc="241A0003" w:tentative="1">
      <w:start w:val="1"/>
      <w:numFmt w:val="bullet"/>
      <w:lvlText w:val="o"/>
      <w:lvlJc w:val="left"/>
      <w:pPr>
        <w:ind w:left="5772" w:hanging="360"/>
      </w:pPr>
      <w:rPr>
        <w:rFonts w:ascii="Courier New" w:hAnsi="Courier New" w:cs="Courier New" w:hint="default"/>
      </w:rPr>
    </w:lvl>
    <w:lvl w:ilvl="5" w:tplc="241A0005" w:tentative="1">
      <w:start w:val="1"/>
      <w:numFmt w:val="bullet"/>
      <w:lvlText w:val=""/>
      <w:lvlJc w:val="left"/>
      <w:pPr>
        <w:ind w:left="6492" w:hanging="360"/>
      </w:pPr>
      <w:rPr>
        <w:rFonts w:ascii="Wingdings" w:hAnsi="Wingdings" w:hint="default"/>
      </w:rPr>
    </w:lvl>
    <w:lvl w:ilvl="6" w:tplc="241A0001" w:tentative="1">
      <w:start w:val="1"/>
      <w:numFmt w:val="bullet"/>
      <w:lvlText w:val=""/>
      <w:lvlJc w:val="left"/>
      <w:pPr>
        <w:ind w:left="7212" w:hanging="360"/>
      </w:pPr>
      <w:rPr>
        <w:rFonts w:ascii="Symbol" w:hAnsi="Symbol" w:hint="default"/>
      </w:rPr>
    </w:lvl>
    <w:lvl w:ilvl="7" w:tplc="241A0003" w:tentative="1">
      <w:start w:val="1"/>
      <w:numFmt w:val="bullet"/>
      <w:lvlText w:val="o"/>
      <w:lvlJc w:val="left"/>
      <w:pPr>
        <w:ind w:left="7932" w:hanging="360"/>
      </w:pPr>
      <w:rPr>
        <w:rFonts w:ascii="Courier New" w:hAnsi="Courier New" w:cs="Courier New" w:hint="default"/>
      </w:rPr>
    </w:lvl>
    <w:lvl w:ilvl="8" w:tplc="241A0005" w:tentative="1">
      <w:start w:val="1"/>
      <w:numFmt w:val="bullet"/>
      <w:lvlText w:val=""/>
      <w:lvlJc w:val="left"/>
      <w:pPr>
        <w:ind w:left="8652" w:hanging="360"/>
      </w:pPr>
      <w:rPr>
        <w:rFonts w:ascii="Wingdings" w:hAnsi="Wingdings" w:hint="default"/>
      </w:rPr>
    </w:lvl>
  </w:abstractNum>
  <w:abstractNum w:abstractNumId="8" w15:restartNumberingAfterBreak="0">
    <w:nsid w:val="322E4E1E"/>
    <w:multiLevelType w:val="hybridMultilevel"/>
    <w:tmpl w:val="9E56F0B2"/>
    <w:lvl w:ilvl="0" w:tplc="78724BCE">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E6322C7"/>
    <w:multiLevelType w:val="multilevel"/>
    <w:tmpl w:val="6902FC4C"/>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576" w:hanging="576"/>
      </w:pPr>
    </w:lvl>
    <w:lvl w:ilvl="2">
      <w:start w:val="1"/>
      <w:numFmt w:val="decimal"/>
      <w:pStyle w:val="Heading31"/>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10" w15:restartNumberingAfterBreak="0">
    <w:nsid w:val="461E3AD3"/>
    <w:multiLevelType w:val="hybridMultilevel"/>
    <w:tmpl w:val="709ECA5C"/>
    <w:lvl w:ilvl="0" w:tplc="AE06C1BA">
      <w:start w:val="1"/>
      <w:numFmt w:val="decimal"/>
      <w:pStyle w:val="lan"/>
      <w:lvlText w:val="Члан %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4A8505C1"/>
    <w:multiLevelType w:val="multilevel"/>
    <w:tmpl w:val="AEBC09C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C6D3AAE"/>
    <w:multiLevelType w:val="hybridMultilevel"/>
    <w:tmpl w:val="F24CD894"/>
    <w:lvl w:ilvl="0" w:tplc="181A0001">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00219D3"/>
    <w:multiLevelType w:val="hybridMultilevel"/>
    <w:tmpl w:val="F9305886"/>
    <w:lvl w:ilvl="0" w:tplc="9DA40474">
      <w:start w:val="1"/>
      <w:numFmt w:val="decimal"/>
      <w:pStyle w:val="Num-Stav"/>
      <w:lvlText w:val="(%1)"/>
      <w:lvlJc w:val="left"/>
      <w:pPr>
        <w:ind w:left="360" w:hanging="360"/>
      </w:pPr>
      <w:rPr>
        <w:rFonts w:hint="default"/>
        <w:b w:val="0"/>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4" w15:restartNumberingAfterBreak="0">
    <w:nsid w:val="55BD7D54"/>
    <w:multiLevelType w:val="hybridMultilevel"/>
    <w:tmpl w:val="8102BFF0"/>
    <w:lvl w:ilvl="0" w:tplc="241A0001">
      <w:start w:val="1"/>
      <w:numFmt w:val="bullet"/>
      <w:lvlText w:val=""/>
      <w:lvlJc w:val="left"/>
      <w:pPr>
        <w:ind w:left="720" w:hanging="360"/>
      </w:pPr>
      <w:rPr>
        <w:rFonts w:ascii="Symbol" w:hAnsi="Symbol"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5" w15:restartNumberingAfterBreak="0">
    <w:nsid w:val="564C6828"/>
    <w:multiLevelType w:val="hybridMultilevel"/>
    <w:tmpl w:val="436C17F6"/>
    <w:lvl w:ilvl="0" w:tplc="9F96AC44">
      <w:start w:val="1"/>
      <w:numFmt w:val="bullet"/>
      <w:pStyle w:val="Oznacavanje"/>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087FD2"/>
    <w:multiLevelType w:val="multilevel"/>
    <w:tmpl w:val="4EAEDADC"/>
    <w:styleLink w:val="Stil5"/>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7" w15:restartNumberingAfterBreak="0">
    <w:nsid w:val="65814A95"/>
    <w:multiLevelType w:val="hybridMultilevel"/>
    <w:tmpl w:val="FBF21E6E"/>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abstractNum w:abstractNumId="18" w15:restartNumberingAfterBreak="0">
    <w:nsid w:val="65A114D6"/>
    <w:multiLevelType w:val="hybridMultilevel"/>
    <w:tmpl w:val="0E32D336"/>
    <w:lvl w:ilvl="0" w:tplc="C17676FC">
      <w:numFmt w:val="bullet"/>
      <w:lvlText w:val="-"/>
      <w:lvlJc w:val="left"/>
      <w:pPr>
        <w:ind w:left="2148" w:hanging="360"/>
      </w:pPr>
      <w:rPr>
        <w:rFonts w:ascii="Times New Roman" w:eastAsia="Times New Roman" w:hAnsi="Times New Roman" w:cs="Times New Roman" w:hint="default"/>
        <w:spacing w:val="-2"/>
        <w:w w:val="99"/>
        <w:sz w:val="18"/>
        <w:szCs w:val="18"/>
      </w:rPr>
    </w:lvl>
    <w:lvl w:ilvl="1" w:tplc="181A0003" w:tentative="1">
      <w:start w:val="1"/>
      <w:numFmt w:val="bullet"/>
      <w:lvlText w:val="o"/>
      <w:lvlJc w:val="left"/>
      <w:pPr>
        <w:ind w:left="2868" w:hanging="360"/>
      </w:pPr>
      <w:rPr>
        <w:rFonts w:ascii="Courier New" w:hAnsi="Courier New" w:cs="Courier New" w:hint="default"/>
      </w:rPr>
    </w:lvl>
    <w:lvl w:ilvl="2" w:tplc="181A0005" w:tentative="1">
      <w:start w:val="1"/>
      <w:numFmt w:val="bullet"/>
      <w:lvlText w:val=""/>
      <w:lvlJc w:val="left"/>
      <w:pPr>
        <w:ind w:left="3588" w:hanging="360"/>
      </w:pPr>
      <w:rPr>
        <w:rFonts w:ascii="Wingdings" w:hAnsi="Wingdings" w:hint="default"/>
      </w:rPr>
    </w:lvl>
    <w:lvl w:ilvl="3" w:tplc="181A0001" w:tentative="1">
      <w:start w:val="1"/>
      <w:numFmt w:val="bullet"/>
      <w:lvlText w:val=""/>
      <w:lvlJc w:val="left"/>
      <w:pPr>
        <w:ind w:left="4308" w:hanging="360"/>
      </w:pPr>
      <w:rPr>
        <w:rFonts w:ascii="Symbol" w:hAnsi="Symbol" w:hint="default"/>
      </w:rPr>
    </w:lvl>
    <w:lvl w:ilvl="4" w:tplc="181A0003" w:tentative="1">
      <w:start w:val="1"/>
      <w:numFmt w:val="bullet"/>
      <w:lvlText w:val="o"/>
      <w:lvlJc w:val="left"/>
      <w:pPr>
        <w:ind w:left="5028" w:hanging="360"/>
      </w:pPr>
      <w:rPr>
        <w:rFonts w:ascii="Courier New" w:hAnsi="Courier New" w:cs="Courier New" w:hint="default"/>
      </w:rPr>
    </w:lvl>
    <w:lvl w:ilvl="5" w:tplc="181A0005" w:tentative="1">
      <w:start w:val="1"/>
      <w:numFmt w:val="bullet"/>
      <w:lvlText w:val=""/>
      <w:lvlJc w:val="left"/>
      <w:pPr>
        <w:ind w:left="5748" w:hanging="360"/>
      </w:pPr>
      <w:rPr>
        <w:rFonts w:ascii="Wingdings" w:hAnsi="Wingdings" w:hint="default"/>
      </w:rPr>
    </w:lvl>
    <w:lvl w:ilvl="6" w:tplc="181A0001" w:tentative="1">
      <w:start w:val="1"/>
      <w:numFmt w:val="bullet"/>
      <w:lvlText w:val=""/>
      <w:lvlJc w:val="left"/>
      <w:pPr>
        <w:ind w:left="6468" w:hanging="360"/>
      </w:pPr>
      <w:rPr>
        <w:rFonts w:ascii="Symbol" w:hAnsi="Symbol" w:hint="default"/>
      </w:rPr>
    </w:lvl>
    <w:lvl w:ilvl="7" w:tplc="181A0003" w:tentative="1">
      <w:start w:val="1"/>
      <w:numFmt w:val="bullet"/>
      <w:lvlText w:val="o"/>
      <w:lvlJc w:val="left"/>
      <w:pPr>
        <w:ind w:left="7188" w:hanging="360"/>
      </w:pPr>
      <w:rPr>
        <w:rFonts w:ascii="Courier New" w:hAnsi="Courier New" w:cs="Courier New" w:hint="default"/>
      </w:rPr>
    </w:lvl>
    <w:lvl w:ilvl="8" w:tplc="181A0005" w:tentative="1">
      <w:start w:val="1"/>
      <w:numFmt w:val="bullet"/>
      <w:lvlText w:val=""/>
      <w:lvlJc w:val="left"/>
      <w:pPr>
        <w:ind w:left="7908" w:hanging="360"/>
      </w:pPr>
      <w:rPr>
        <w:rFonts w:ascii="Wingdings" w:hAnsi="Wingdings" w:hint="default"/>
      </w:rPr>
    </w:lvl>
  </w:abstractNum>
  <w:abstractNum w:abstractNumId="19" w15:restartNumberingAfterBreak="0">
    <w:nsid w:val="6A370028"/>
    <w:multiLevelType w:val="hybridMultilevel"/>
    <w:tmpl w:val="F84633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B864EBE"/>
    <w:multiLevelType w:val="hybridMultilevel"/>
    <w:tmpl w:val="2B5CE2E4"/>
    <w:lvl w:ilvl="0" w:tplc="08090001">
      <w:start w:val="1"/>
      <w:numFmt w:val="bullet"/>
      <w:lvlText w:val=""/>
      <w:lvlJc w:val="left"/>
      <w:pPr>
        <w:ind w:left="2136" w:hanging="360"/>
      </w:pPr>
      <w:rPr>
        <w:rFonts w:ascii="Symbol" w:hAnsi="Symbol" w:hint="default"/>
        <w:spacing w:val="-2"/>
        <w:w w:val="99"/>
        <w:sz w:val="18"/>
        <w:szCs w:val="18"/>
      </w:rPr>
    </w:lvl>
    <w:lvl w:ilvl="1" w:tplc="241A0003">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1" w15:restartNumberingAfterBreak="0">
    <w:nsid w:val="6E503475"/>
    <w:multiLevelType w:val="hybridMultilevel"/>
    <w:tmpl w:val="5A643E90"/>
    <w:lvl w:ilvl="0" w:tplc="08090001">
      <w:start w:val="1"/>
      <w:numFmt w:val="bullet"/>
      <w:lvlText w:val=""/>
      <w:lvlJc w:val="left"/>
      <w:pPr>
        <w:ind w:left="2136" w:hanging="360"/>
      </w:pPr>
      <w:rPr>
        <w:rFonts w:ascii="Symbol" w:hAnsi="Symbo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2" w15:restartNumberingAfterBreak="0">
    <w:nsid w:val="6F9C0615"/>
    <w:multiLevelType w:val="multilevel"/>
    <w:tmpl w:val="C1706A56"/>
    <w:styleLink w:val="Numerisanje"/>
    <w:lvl w:ilvl="0">
      <w:start w:val="1"/>
      <w:numFmt w:val="upperRoman"/>
      <w:lvlText w:val="%1"/>
      <w:lvlJc w:val="left"/>
      <w:pPr>
        <w:ind w:left="567" w:hanging="567"/>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1BE5C68"/>
    <w:multiLevelType w:val="hybridMultilevel"/>
    <w:tmpl w:val="A87624CE"/>
    <w:lvl w:ilvl="0" w:tplc="2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1B5036"/>
    <w:multiLevelType w:val="hybridMultilevel"/>
    <w:tmpl w:val="3B76A7F8"/>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5" w15:restartNumberingAfterBreak="0">
    <w:nsid w:val="735F5CF6"/>
    <w:multiLevelType w:val="hybridMultilevel"/>
    <w:tmpl w:val="508ECA92"/>
    <w:lvl w:ilvl="0" w:tplc="241A000F">
      <w:start w:val="1"/>
      <w:numFmt w:val="decimal"/>
      <w:lvlText w:val="%1."/>
      <w:lvlJc w:val="left"/>
      <w:pPr>
        <w:ind w:left="2136" w:hanging="360"/>
      </w:pPr>
    </w:lvl>
    <w:lvl w:ilvl="1" w:tplc="241A0019" w:tentative="1">
      <w:start w:val="1"/>
      <w:numFmt w:val="lowerLetter"/>
      <w:lvlText w:val="%2."/>
      <w:lvlJc w:val="left"/>
      <w:pPr>
        <w:ind w:left="2856" w:hanging="360"/>
      </w:pPr>
    </w:lvl>
    <w:lvl w:ilvl="2" w:tplc="241A001B" w:tentative="1">
      <w:start w:val="1"/>
      <w:numFmt w:val="lowerRoman"/>
      <w:lvlText w:val="%3."/>
      <w:lvlJc w:val="right"/>
      <w:pPr>
        <w:ind w:left="3576" w:hanging="180"/>
      </w:pPr>
    </w:lvl>
    <w:lvl w:ilvl="3" w:tplc="241A000F" w:tentative="1">
      <w:start w:val="1"/>
      <w:numFmt w:val="decimal"/>
      <w:lvlText w:val="%4."/>
      <w:lvlJc w:val="left"/>
      <w:pPr>
        <w:ind w:left="4296" w:hanging="360"/>
      </w:pPr>
    </w:lvl>
    <w:lvl w:ilvl="4" w:tplc="241A0019" w:tentative="1">
      <w:start w:val="1"/>
      <w:numFmt w:val="lowerLetter"/>
      <w:lvlText w:val="%5."/>
      <w:lvlJc w:val="left"/>
      <w:pPr>
        <w:ind w:left="5016" w:hanging="360"/>
      </w:pPr>
    </w:lvl>
    <w:lvl w:ilvl="5" w:tplc="241A001B" w:tentative="1">
      <w:start w:val="1"/>
      <w:numFmt w:val="lowerRoman"/>
      <w:lvlText w:val="%6."/>
      <w:lvlJc w:val="right"/>
      <w:pPr>
        <w:ind w:left="5736" w:hanging="180"/>
      </w:pPr>
    </w:lvl>
    <w:lvl w:ilvl="6" w:tplc="241A000F" w:tentative="1">
      <w:start w:val="1"/>
      <w:numFmt w:val="decimal"/>
      <w:lvlText w:val="%7."/>
      <w:lvlJc w:val="left"/>
      <w:pPr>
        <w:ind w:left="6456" w:hanging="360"/>
      </w:pPr>
    </w:lvl>
    <w:lvl w:ilvl="7" w:tplc="241A0019" w:tentative="1">
      <w:start w:val="1"/>
      <w:numFmt w:val="lowerLetter"/>
      <w:lvlText w:val="%8."/>
      <w:lvlJc w:val="left"/>
      <w:pPr>
        <w:ind w:left="7176" w:hanging="360"/>
      </w:pPr>
    </w:lvl>
    <w:lvl w:ilvl="8" w:tplc="241A001B" w:tentative="1">
      <w:start w:val="1"/>
      <w:numFmt w:val="lowerRoman"/>
      <w:lvlText w:val="%9."/>
      <w:lvlJc w:val="right"/>
      <w:pPr>
        <w:ind w:left="7896" w:hanging="180"/>
      </w:pPr>
    </w:lvl>
  </w:abstractNum>
  <w:abstractNum w:abstractNumId="26" w15:restartNumberingAfterBreak="0">
    <w:nsid w:val="79AA3721"/>
    <w:multiLevelType w:val="hybridMultilevel"/>
    <w:tmpl w:val="85DE312C"/>
    <w:lvl w:ilvl="0" w:tplc="08090001">
      <w:start w:val="1"/>
      <w:numFmt w:val="bullet"/>
      <w:lvlText w:val=""/>
      <w:lvlJc w:val="left"/>
      <w:pPr>
        <w:ind w:left="2136" w:hanging="360"/>
      </w:pPr>
      <w:rPr>
        <w:rFonts w:ascii="Symbol" w:hAnsi="Symbol" w:hint="default"/>
      </w:rPr>
    </w:lvl>
    <w:lvl w:ilvl="1" w:tplc="C74A0564">
      <w:numFmt w:val="bullet"/>
      <w:lvlText w:val="•"/>
      <w:lvlJc w:val="left"/>
      <w:pPr>
        <w:ind w:left="2856" w:hanging="360"/>
      </w:pPr>
      <w:rPr>
        <w:rFonts w:ascii="Calibri" w:eastAsiaTheme="minorHAnsi" w:hAnsi="Calibri" w:cs="Calibri"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7" w15:restartNumberingAfterBreak="0">
    <w:nsid w:val="79E229B7"/>
    <w:multiLevelType w:val="hybridMultilevel"/>
    <w:tmpl w:val="17D0D1EA"/>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num w:numId="1">
    <w:abstractNumId w:val="13"/>
  </w:num>
  <w:num w:numId="2">
    <w:abstractNumId w:val="6"/>
  </w:num>
  <w:num w:numId="3">
    <w:abstractNumId w:val="15"/>
  </w:num>
  <w:num w:numId="4">
    <w:abstractNumId w:val="22"/>
  </w:num>
  <w:num w:numId="5">
    <w:abstractNumId w:val="10"/>
  </w:num>
  <w:num w:numId="6">
    <w:abstractNumId w:val="3"/>
  </w:num>
  <w:num w:numId="7">
    <w:abstractNumId w:val="14"/>
  </w:num>
  <w:num w:numId="8">
    <w:abstractNumId w:val="23"/>
  </w:num>
  <w:num w:numId="9">
    <w:abstractNumId w:val="19"/>
  </w:num>
  <w:num w:numId="10">
    <w:abstractNumId w:val="24"/>
  </w:num>
  <w:num w:numId="11">
    <w:abstractNumId w:val="0"/>
  </w:num>
  <w:num w:numId="12">
    <w:abstractNumId w:val="1"/>
  </w:num>
  <w:num w:numId="13">
    <w:abstractNumId w:val="16"/>
  </w:num>
  <w:num w:numId="14">
    <w:abstractNumId w:val="2"/>
  </w:num>
  <w:num w:numId="15">
    <w:abstractNumId w:val="5"/>
  </w:num>
  <w:num w:numId="16">
    <w:abstractNumId w:val="4"/>
  </w:num>
  <w:num w:numId="17">
    <w:abstractNumId w:val="9"/>
  </w:num>
  <w:num w:numId="18">
    <w:abstractNumId w:val="11"/>
  </w:num>
  <w:num w:numId="19">
    <w:abstractNumId w:val="12"/>
  </w:num>
  <w:num w:numId="20">
    <w:abstractNumId w:val="27"/>
  </w:num>
  <w:num w:numId="21">
    <w:abstractNumId w:val="20"/>
  </w:num>
  <w:num w:numId="22">
    <w:abstractNumId w:val="26"/>
  </w:num>
  <w:num w:numId="23">
    <w:abstractNumId w:val="17"/>
  </w:num>
  <w:num w:numId="24">
    <w:abstractNumId w:val="7"/>
  </w:num>
  <w:num w:numId="25">
    <w:abstractNumId w:val="21"/>
  </w:num>
  <w:num w:numId="26">
    <w:abstractNumId w:val="25"/>
  </w:num>
  <w:num w:numId="27">
    <w:abstractNumId w:val="8"/>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8EF"/>
    <w:rsid w:val="00000520"/>
    <w:rsid w:val="00010815"/>
    <w:rsid w:val="0001135A"/>
    <w:rsid w:val="00012A2A"/>
    <w:rsid w:val="00013EC5"/>
    <w:rsid w:val="00026933"/>
    <w:rsid w:val="00034C61"/>
    <w:rsid w:val="00034E5A"/>
    <w:rsid w:val="00035CC3"/>
    <w:rsid w:val="00036827"/>
    <w:rsid w:val="000401FD"/>
    <w:rsid w:val="00052CF8"/>
    <w:rsid w:val="0005395C"/>
    <w:rsid w:val="00065F90"/>
    <w:rsid w:val="000704FD"/>
    <w:rsid w:val="000707DC"/>
    <w:rsid w:val="00072953"/>
    <w:rsid w:val="00083935"/>
    <w:rsid w:val="00090FC2"/>
    <w:rsid w:val="00091285"/>
    <w:rsid w:val="0009324C"/>
    <w:rsid w:val="00093857"/>
    <w:rsid w:val="000A06F5"/>
    <w:rsid w:val="000A7EA2"/>
    <w:rsid w:val="000B04CD"/>
    <w:rsid w:val="000B3AEA"/>
    <w:rsid w:val="000C2D2F"/>
    <w:rsid w:val="000C6E09"/>
    <w:rsid w:val="000D005A"/>
    <w:rsid w:val="000D5B93"/>
    <w:rsid w:val="000D6FED"/>
    <w:rsid w:val="000E1477"/>
    <w:rsid w:val="000E7CF3"/>
    <w:rsid w:val="000F4AAF"/>
    <w:rsid w:val="000F5C04"/>
    <w:rsid w:val="00112CAE"/>
    <w:rsid w:val="001163A8"/>
    <w:rsid w:val="00130BFD"/>
    <w:rsid w:val="00135F4E"/>
    <w:rsid w:val="001374B3"/>
    <w:rsid w:val="001416A3"/>
    <w:rsid w:val="001528EB"/>
    <w:rsid w:val="00153592"/>
    <w:rsid w:val="001538EF"/>
    <w:rsid w:val="00155069"/>
    <w:rsid w:val="00161F70"/>
    <w:rsid w:val="0016662A"/>
    <w:rsid w:val="00170349"/>
    <w:rsid w:val="00171AD4"/>
    <w:rsid w:val="001769FF"/>
    <w:rsid w:val="00184B20"/>
    <w:rsid w:val="0019136D"/>
    <w:rsid w:val="00194C22"/>
    <w:rsid w:val="0019779B"/>
    <w:rsid w:val="001A4047"/>
    <w:rsid w:val="001A7828"/>
    <w:rsid w:val="001C0601"/>
    <w:rsid w:val="001C27A1"/>
    <w:rsid w:val="001C6631"/>
    <w:rsid w:val="001D04EC"/>
    <w:rsid w:val="001D6AF5"/>
    <w:rsid w:val="001E1714"/>
    <w:rsid w:val="001E3AE7"/>
    <w:rsid w:val="001F539D"/>
    <w:rsid w:val="00210D8B"/>
    <w:rsid w:val="00215648"/>
    <w:rsid w:val="00215F23"/>
    <w:rsid w:val="00235313"/>
    <w:rsid w:val="00244867"/>
    <w:rsid w:val="00245931"/>
    <w:rsid w:val="00252796"/>
    <w:rsid w:val="00254480"/>
    <w:rsid w:val="002575E6"/>
    <w:rsid w:val="0026077C"/>
    <w:rsid w:val="002663DB"/>
    <w:rsid w:val="00266942"/>
    <w:rsid w:val="00266AB6"/>
    <w:rsid w:val="0027783B"/>
    <w:rsid w:val="002801CF"/>
    <w:rsid w:val="002908EC"/>
    <w:rsid w:val="00295AE9"/>
    <w:rsid w:val="002A1615"/>
    <w:rsid w:val="002A1C02"/>
    <w:rsid w:val="002B5C72"/>
    <w:rsid w:val="002C09A5"/>
    <w:rsid w:val="002D3CB6"/>
    <w:rsid w:val="002E12C8"/>
    <w:rsid w:val="002E5020"/>
    <w:rsid w:val="002E51B0"/>
    <w:rsid w:val="002E7B50"/>
    <w:rsid w:val="00301192"/>
    <w:rsid w:val="00301497"/>
    <w:rsid w:val="00302993"/>
    <w:rsid w:val="00304E1F"/>
    <w:rsid w:val="00315AFE"/>
    <w:rsid w:val="00321FA8"/>
    <w:rsid w:val="00325EEB"/>
    <w:rsid w:val="00330E93"/>
    <w:rsid w:val="00334919"/>
    <w:rsid w:val="00335B1E"/>
    <w:rsid w:val="003547B5"/>
    <w:rsid w:val="00364050"/>
    <w:rsid w:val="003661A0"/>
    <w:rsid w:val="003725BC"/>
    <w:rsid w:val="00374924"/>
    <w:rsid w:val="00383DB0"/>
    <w:rsid w:val="0039637A"/>
    <w:rsid w:val="00396382"/>
    <w:rsid w:val="003A0742"/>
    <w:rsid w:val="003A3A27"/>
    <w:rsid w:val="003B072A"/>
    <w:rsid w:val="003B2D9A"/>
    <w:rsid w:val="003B2F4F"/>
    <w:rsid w:val="003B3FA9"/>
    <w:rsid w:val="003C48BF"/>
    <w:rsid w:val="003D2212"/>
    <w:rsid w:val="003E21A9"/>
    <w:rsid w:val="003E2BB3"/>
    <w:rsid w:val="003E3504"/>
    <w:rsid w:val="003F520C"/>
    <w:rsid w:val="003F754B"/>
    <w:rsid w:val="00403900"/>
    <w:rsid w:val="00403F89"/>
    <w:rsid w:val="0041362C"/>
    <w:rsid w:val="0041746A"/>
    <w:rsid w:val="0042190C"/>
    <w:rsid w:val="004221E8"/>
    <w:rsid w:val="00424A91"/>
    <w:rsid w:val="00425136"/>
    <w:rsid w:val="004259DC"/>
    <w:rsid w:val="00440194"/>
    <w:rsid w:val="004439A7"/>
    <w:rsid w:val="00444987"/>
    <w:rsid w:val="004462B1"/>
    <w:rsid w:val="00451648"/>
    <w:rsid w:val="00471A95"/>
    <w:rsid w:val="004732B5"/>
    <w:rsid w:val="004A1318"/>
    <w:rsid w:val="004A241E"/>
    <w:rsid w:val="004B13E7"/>
    <w:rsid w:val="004B146F"/>
    <w:rsid w:val="004B2397"/>
    <w:rsid w:val="004C0CBD"/>
    <w:rsid w:val="004D0269"/>
    <w:rsid w:val="004D360B"/>
    <w:rsid w:val="004D59EF"/>
    <w:rsid w:val="004E0037"/>
    <w:rsid w:val="004E7FA3"/>
    <w:rsid w:val="00500F41"/>
    <w:rsid w:val="005030FC"/>
    <w:rsid w:val="0052360C"/>
    <w:rsid w:val="005311A9"/>
    <w:rsid w:val="00536E78"/>
    <w:rsid w:val="00543B93"/>
    <w:rsid w:val="00545FA4"/>
    <w:rsid w:val="00546DB4"/>
    <w:rsid w:val="00547B4E"/>
    <w:rsid w:val="00553306"/>
    <w:rsid w:val="00553AEA"/>
    <w:rsid w:val="0055687E"/>
    <w:rsid w:val="0056585F"/>
    <w:rsid w:val="00565F4D"/>
    <w:rsid w:val="00572EC5"/>
    <w:rsid w:val="005752D5"/>
    <w:rsid w:val="005767EF"/>
    <w:rsid w:val="00584620"/>
    <w:rsid w:val="00585AD3"/>
    <w:rsid w:val="00593423"/>
    <w:rsid w:val="005A7BAC"/>
    <w:rsid w:val="005B2B10"/>
    <w:rsid w:val="005B57E0"/>
    <w:rsid w:val="005B6F87"/>
    <w:rsid w:val="005C35BE"/>
    <w:rsid w:val="005D0BE8"/>
    <w:rsid w:val="005D2C1F"/>
    <w:rsid w:val="005D2D24"/>
    <w:rsid w:val="005D3925"/>
    <w:rsid w:val="005D5536"/>
    <w:rsid w:val="005D68A8"/>
    <w:rsid w:val="005F70EB"/>
    <w:rsid w:val="00603916"/>
    <w:rsid w:val="00607F7C"/>
    <w:rsid w:val="00612143"/>
    <w:rsid w:val="00617810"/>
    <w:rsid w:val="00617C37"/>
    <w:rsid w:val="00626C5F"/>
    <w:rsid w:val="00631FFF"/>
    <w:rsid w:val="00646C62"/>
    <w:rsid w:val="00655955"/>
    <w:rsid w:val="0066469A"/>
    <w:rsid w:val="0066471A"/>
    <w:rsid w:val="00667021"/>
    <w:rsid w:val="006702AB"/>
    <w:rsid w:val="00673EDF"/>
    <w:rsid w:val="006743A0"/>
    <w:rsid w:val="00683FFC"/>
    <w:rsid w:val="00684A7B"/>
    <w:rsid w:val="00687171"/>
    <w:rsid w:val="0069428E"/>
    <w:rsid w:val="006A433D"/>
    <w:rsid w:val="006B0198"/>
    <w:rsid w:val="006B34BD"/>
    <w:rsid w:val="006C1A84"/>
    <w:rsid w:val="006D4CD2"/>
    <w:rsid w:val="006E1977"/>
    <w:rsid w:val="006E40F1"/>
    <w:rsid w:val="006F5BAE"/>
    <w:rsid w:val="006F5BD9"/>
    <w:rsid w:val="0070006A"/>
    <w:rsid w:val="0070222F"/>
    <w:rsid w:val="00702D51"/>
    <w:rsid w:val="00713AF5"/>
    <w:rsid w:val="0071581A"/>
    <w:rsid w:val="007224A3"/>
    <w:rsid w:val="007259AE"/>
    <w:rsid w:val="0073303C"/>
    <w:rsid w:val="007339B5"/>
    <w:rsid w:val="007377DB"/>
    <w:rsid w:val="0074097F"/>
    <w:rsid w:val="007434A3"/>
    <w:rsid w:val="007460B5"/>
    <w:rsid w:val="007534DD"/>
    <w:rsid w:val="0075475E"/>
    <w:rsid w:val="0076154D"/>
    <w:rsid w:val="00774626"/>
    <w:rsid w:val="00775661"/>
    <w:rsid w:val="00776797"/>
    <w:rsid w:val="007851DE"/>
    <w:rsid w:val="00786121"/>
    <w:rsid w:val="00792678"/>
    <w:rsid w:val="007A71BF"/>
    <w:rsid w:val="007B2869"/>
    <w:rsid w:val="007B3016"/>
    <w:rsid w:val="007B6974"/>
    <w:rsid w:val="007C2E76"/>
    <w:rsid w:val="007C3977"/>
    <w:rsid w:val="007C74A2"/>
    <w:rsid w:val="007E6644"/>
    <w:rsid w:val="00800CD6"/>
    <w:rsid w:val="00801C08"/>
    <w:rsid w:val="00802A85"/>
    <w:rsid w:val="00804592"/>
    <w:rsid w:val="0080620E"/>
    <w:rsid w:val="008068FA"/>
    <w:rsid w:val="00811D04"/>
    <w:rsid w:val="008134F3"/>
    <w:rsid w:val="00823088"/>
    <w:rsid w:val="00823B1A"/>
    <w:rsid w:val="008307BD"/>
    <w:rsid w:val="00836834"/>
    <w:rsid w:val="00836EF2"/>
    <w:rsid w:val="008412E8"/>
    <w:rsid w:val="00847B43"/>
    <w:rsid w:val="00854960"/>
    <w:rsid w:val="008565C8"/>
    <w:rsid w:val="008617B4"/>
    <w:rsid w:val="00862F67"/>
    <w:rsid w:val="00874DE2"/>
    <w:rsid w:val="00876546"/>
    <w:rsid w:val="00886690"/>
    <w:rsid w:val="00892214"/>
    <w:rsid w:val="008A3C49"/>
    <w:rsid w:val="008A780A"/>
    <w:rsid w:val="008C27E1"/>
    <w:rsid w:val="008C6F9F"/>
    <w:rsid w:val="008D3DAA"/>
    <w:rsid w:val="008D6704"/>
    <w:rsid w:val="008D7B5A"/>
    <w:rsid w:val="008E023F"/>
    <w:rsid w:val="008E0518"/>
    <w:rsid w:val="008E49D3"/>
    <w:rsid w:val="008F7B16"/>
    <w:rsid w:val="00900F10"/>
    <w:rsid w:val="009051D2"/>
    <w:rsid w:val="009065AC"/>
    <w:rsid w:val="00910D8B"/>
    <w:rsid w:val="00914272"/>
    <w:rsid w:val="00932859"/>
    <w:rsid w:val="009342FB"/>
    <w:rsid w:val="009346DA"/>
    <w:rsid w:val="00937B34"/>
    <w:rsid w:val="00942B0B"/>
    <w:rsid w:val="00947FBF"/>
    <w:rsid w:val="00954F20"/>
    <w:rsid w:val="00957F9F"/>
    <w:rsid w:val="00961BDD"/>
    <w:rsid w:val="00962AF1"/>
    <w:rsid w:val="009634B9"/>
    <w:rsid w:val="00971504"/>
    <w:rsid w:val="00976A36"/>
    <w:rsid w:val="00993BBD"/>
    <w:rsid w:val="009A46DA"/>
    <w:rsid w:val="009A753D"/>
    <w:rsid w:val="009B4556"/>
    <w:rsid w:val="009B6FAB"/>
    <w:rsid w:val="009C697E"/>
    <w:rsid w:val="009C7D7A"/>
    <w:rsid w:val="009D59E8"/>
    <w:rsid w:val="009E4517"/>
    <w:rsid w:val="009E6B93"/>
    <w:rsid w:val="009F618F"/>
    <w:rsid w:val="009F70C0"/>
    <w:rsid w:val="00A13C00"/>
    <w:rsid w:val="00A17121"/>
    <w:rsid w:val="00A23BC7"/>
    <w:rsid w:val="00A3089B"/>
    <w:rsid w:val="00A3442E"/>
    <w:rsid w:val="00A349D6"/>
    <w:rsid w:val="00A408DF"/>
    <w:rsid w:val="00A426D1"/>
    <w:rsid w:val="00A43C1F"/>
    <w:rsid w:val="00A445D7"/>
    <w:rsid w:val="00A478B7"/>
    <w:rsid w:val="00A522F7"/>
    <w:rsid w:val="00A561E0"/>
    <w:rsid w:val="00A576A5"/>
    <w:rsid w:val="00A57DBA"/>
    <w:rsid w:val="00A64AF6"/>
    <w:rsid w:val="00A6503C"/>
    <w:rsid w:val="00A84CAD"/>
    <w:rsid w:val="00A84DF8"/>
    <w:rsid w:val="00A944C8"/>
    <w:rsid w:val="00A94CD4"/>
    <w:rsid w:val="00AA0732"/>
    <w:rsid w:val="00AC030A"/>
    <w:rsid w:val="00AC07D0"/>
    <w:rsid w:val="00AD5361"/>
    <w:rsid w:val="00AE7647"/>
    <w:rsid w:val="00AF0599"/>
    <w:rsid w:val="00AF5676"/>
    <w:rsid w:val="00B00123"/>
    <w:rsid w:val="00B1743F"/>
    <w:rsid w:val="00B343C6"/>
    <w:rsid w:val="00B35C5E"/>
    <w:rsid w:val="00B414B5"/>
    <w:rsid w:val="00B44D0C"/>
    <w:rsid w:val="00B44F5F"/>
    <w:rsid w:val="00B46941"/>
    <w:rsid w:val="00B5068E"/>
    <w:rsid w:val="00B525CF"/>
    <w:rsid w:val="00B54DD1"/>
    <w:rsid w:val="00B563CF"/>
    <w:rsid w:val="00B579BB"/>
    <w:rsid w:val="00B75871"/>
    <w:rsid w:val="00B769DD"/>
    <w:rsid w:val="00B81C29"/>
    <w:rsid w:val="00B84B91"/>
    <w:rsid w:val="00B86275"/>
    <w:rsid w:val="00BA1F0A"/>
    <w:rsid w:val="00BA2264"/>
    <w:rsid w:val="00BB633C"/>
    <w:rsid w:val="00BC4BEA"/>
    <w:rsid w:val="00BC5934"/>
    <w:rsid w:val="00BC6981"/>
    <w:rsid w:val="00BD3482"/>
    <w:rsid w:val="00BD6347"/>
    <w:rsid w:val="00BD6792"/>
    <w:rsid w:val="00BE15F9"/>
    <w:rsid w:val="00BE64CF"/>
    <w:rsid w:val="00BE6F42"/>
    <w:rsid w:val="00C04095"/>
    <w:rsid w:val="00C12ECB"/>
    <w:rsid w:val="00C14A0F"/>
    <w:rsid w:val="00C442DB"/>
    <w:rsid w:val="00C547E3"/>
    <w:rsid w:val="00C5563A"/>
    <w:rsid w:val="00C66305"/>
    <w:rsid w:val="00C71500"/>
    <w:rsid w:val="00C741B4"/>
    <w:rsid w:val="00C76A89"/>
    <w:rsid w:val="00C779CA"/>
    <w:rsid w:val="00C82041"/>
    <w:rsid w:val="00C83136"/>
    <w:rsid w:val="00C83692"/>
    <w:rsid w:val="00C83A25"/>
    <w:rsid w:val="00C951F9"/>
    <w:rsid w:val="00C969EE"/>
    <w:rsid w:val="00CA2358"/>
    <w:rsid w:val="00CA28AF"/>
    <w:rsid w:val="00CA5F52"/>
    <w:rsid w:val="00CA6C43"/>
    <w:rsid w:val="00CB12D5"/>
    <w:rsid w:val="00CC181D"/>
    <w:rsid w:val="00CD7AC0"/>
    <w:rsid w:val="00CE2CCD"/>
    <w:rsid w:val="00CF5C14"/>
    <w:rsid w:val="00D059DD"/>
    <w:rsid w:val="00D15B00"/>
    <w:rsid w:val="00D16291"/>
    <w:rsid w:val="00D24503"/>
    <w:rsid w:val="00D25A1F"/>
    <w:rsid w:val="00D35399"/>
    <w:rsid w:val="00D362E3"/>
    <w:rsid w:val="00D368D4"/>
    <w:rsid w:val="00D42F9E"/>
    <w:rsid w:val="00D44C0D"/>
    <w:rsid w:val="00D53F87"/>
    <w:rsid w:val="00D56712"/>
    <w:rsid w:val="00D61F52"/>
    <w:rsid w:val="00D63B52"/>
    <w:rsid w:val="00D65DBC"/>
    <w:rsid w:val="00D70BEE"/>
    <w:rsid w:val="00D77E84"/>
    <w:rsid w:val="00D83063"/>
    <w:rsid w:val="00D834EE"/>
    <w:rsid w:val="00DA2523"/>
    <w:rsid w:val="00DB0D07"/>
    <w:rsid w:val="00DB46A9"/>
    <w:rsid w:val="00DB5231"/>
    <w:rsid w:val="00DB67A8"/>
    <w:rsid w:val="00DB7831"/>
    <w:rsid w:val="00DC1AD9"/>
    <w:rsid w:val="00DC72FE"/>
    <w:rsid w:val="00DC77E0"/>
    <w:rsid w:val="00DD2BAA"/>
    <w:rsid w:val="00DE0267"/>
    <w:rsid w:val="00DF3C30"/>
    <w:rsid w:val="00E00B0B"/>
    <w:rsid w:val="00E01192"/>
    <w:rsid w:val="00E037F4"/>
    <w:rsid w:val="00E13F69"/>
    <w:rsid w:val="00E153D1"/>
    <w:rsid w:val="00E16DD7"/>
    <w:rsid w:val="00E178B0"/>
    <w:rsid w:val="00E236D5"/>
    <w:rsid w:val="00E3312F"/>
    <w:rsid w:val="00E351D5"/>
    <w:rsid w:val="00E356BB"/>
    <w:rsid w:val="00E37A97"/>
    <w:rsid w:val="00E42BFF"/>
    <w:rsid w:val="00E46092"/>
    <w:rsid w:val="00E46707"/>
    <w:rsid w:val="00E50755"/>
    <w:rsid w:val="00E606D0"/>
    <w:rsid w:val="00E6374A"/>
    <w:rsid w:val="00E663D1"/>
    <w:rsid w:val="00E66BA7"/>
    <w:rsid w:val="00E6703F"/>
    <w:rsid w:val="00E741ED"/>
    <w:rsid w:val="00E768AF"/>
    <w:rsid w:val="00E84021"/>
    <w:rsid w:val="00E85509"/>
    <w:rsid w:val="00E86D8D"/>
    <w:rsid w:val="00E91AC3"/>
    <w:rsid w:val="00EA08D5"/>
    <w:rsid w:val="00EA7186"/>
    <w:rsid w:val="00EB4CFD"/>
    <w:rsid w:val="00ED1AED"/>
    <w:rsid w:val="00EE027C"/>
    <w:rsid w:val="00EE16CE"/>
    <w:rsid w:val="00EE734C"/>
    <w:rsid w:val="00EF084E"/>
    <w:rsid w:val="00EF150A"/>
    <w:rsid w:val="00F04350"/>
    <w:rsid w:val="00F10264"/>
    <w:rsid w:val="00F13F96"/>
    <w:rsid w:val="00F2119C"/>
    <w:rsid w:val="00F2146A"/>
    <w:rsid w:val="00F30F98"/>
    <w:rsid w:val="00F33B0D"/>
    <w:rsid w:val="00F35823"/>
    <w:rsid w:val="00F53A19"/>
    <w:rsid w:val="00F60818"/>
    <w:rsid w:val="00F6210D"/>
    <w:rsid w:val="00F67F6B"/>
    <w:rsid w:val="00F731FD"/>
    <w:rsid w:val="00F7504C"/>
    <w:rsid w:val="00F75B3A"/>
    <w:rsid w:val="00F823E7"/>
    <w:rsid w:val="00F83E8B"/>
    <w:rsid w:val="00FB10AB"/>
    <w:rsid w:val="00FD6568"/>
    <w:rsid w:val="00FE0E1B"/>
    <w:rsid w:val="00FE34B5"/>
    <w:rsid w:val="00FE5EE8"/>
    <w:rsid w:val="00FF546D"/>
    <w:rsid w:val="00FF73B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187D"/>
  <w15:docId w15:val="{3F86D1D0-FB37-4C61-BBB7-DF124F12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98"/>
    <w:pPr>
      <w:spacing w:after="0" w:line="240" w:lineRule="auto"/>
      <w:jc w:val="both"/>
    </w:pPr>
    <w:rPr>
      <w:rFonts w:ascii="Times New Roman" w:eastAsia="Times New Roman" w:hAnsi="Times New Roman" w:cs="Times New Roman"/>
      <w:color w:val="000000"/>
      <w:sz w:val="24"/>
      <w:szCs w:val="24"/>
      <w:lang w:eastAsia="bs-Latn-BA"/>
    </w:rPr>
  </w:style>
  <w:style w:type="paragraph" w:styleId="Heading1">
    <w:name w:val="heading 1"/>
    <w:basedOn w:val="Normal"/>
    <w:link w:val="Heading1Char"/>
    <w:qFormat/>
    <w:rsid w:val="001538EF"/>
    <w:pPr>
      <w:numPr>
        <w:numId w:val="18"/>
      </w:numPr>
      <w:spacing w:after="360" w:line="0" w:lineRule="atLeast"/>
      <w:ind w:left="431" w:hanging="431"/>
      <w:outlineLvl w:val="0"/>
    </w:pPr>
    <w:rPr>
      <w:rFonts w:ascii="Calibri" w:hAnsi="Calibri"/>
      <w:b/>
      <w:caps/>
      <w:color w:val="auto"/>
      <w:kern w:val="36"/>
      <w:sz w:val="20"/>
      <w:szCs w:val="20"/>
      <w:lang w:val="sr-Cyrl-CS" w:eastAsia="sr-Latn-CS"/>
    </w:rPr>
  </w:style>
  <w:style w:type="paragraph" w:styleId="Heading2">
    <w:name w:val="heading 2"/>
    <w:basedOn w:val="Normal"/>
    <w:link w:val="Heading2Char"/>
    <w:qFormat/>
    <w:rsid w:val="001538EF"/>
    <w:pPr>
      <w:numPr>
        <w:ilvl w:val="1"/>
        <w:numId w:val="18"/>
      </w:numPr>
      <w:spacing w:line="276" w:lineRule="auto"/>
      <w:outlineLvl w:val="1"/>
    </w:pPr>
    <w:rPr>
      <w:rFonts w:ascii="Calibri" w:eastAsiaTheme="minorHAnsi" w:hAnsi="Calibri"/>
      <w:bCs/>
      <w:color w:val="auto"/>
      <w:sz w:val="20"/>
      <w:szCs w:val="17"/>
      <w:lang w:val="sr-Cyrl-CS" w:eastAsia="sr-Latn-CS"/>
    </w:rPr>
  </w:style>
  <w:style w:type="paragraph" w:styleId="Heading3">
    <w:name w:val="heading 3"/>
    <w:basedOn w:val="Normal"/>
    <w:next w:val="Normal"/>
    <w:link w:val="Heading3Char"/>
    <w:uiPriority w:val="9"/>
    <w:semiHidden/>
    <w:unhideWhenUsed/>
    <w:qFormat/>
    <w:rsid w:val="001538EF"/>
    <w:pPr>
      <w:keepNext/>
      <w:keepLines/>
      <w:numPr>
        <w:ilvl w:val="2"/>
        <w:numId w:val="18"/>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538EF"/>
    <w:pPr>
      <w:keepNext/>
      <w:keepLines/>
      <w:numPr>
        <w:ilvl w:val="3"/>
        <w:numId w:val="18"/>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538EF"/>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38EF"/>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38EF"/>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38EF"/>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38EF"/>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38EF"/>
    <w:rPr>
      <w:rFonts w:ascii="Calibri" w:eastAsia="Times New Roman" w:hAnsi="Calibri" w:cs="Times New Roman"/>
      <w:b/>
      <w:caps/>
      <w:kern w:val="36"/>
      <w:sz w:val="20"/>
      <w:szCs w:val="20"/>
      <w:lang w:val="sr-Cyrl-CS" w:eastAsia="sr-Latn-CS"/>
    </w:rPr>
  </w:style>
  <w:style w:type="character" w:customStyle="1" w:styleId="Heading2Char">
    <w:name w:val="Heading 2 Char"/>
    <w:basedOn w:val="DefaultParagraphFont"/>
    <w:link w:val="Heading2"/>
    <w:rsid w:val="001538EF"/>
    <w:rPr>
      <w:rFonts w:ascii="Calibri" w:hAnsi="Calibri" w:cs="Times New Roman"/>
      <w:bCs/>
      <w:sz w:val="20"/>
      <w:szCs w:val="17"/>
      <w:lang w:val="sr-Cyrl-CS" w:eastAsia="sr-Latn-CS"/>
    </w:rPr>
  </w:style>
  <w:style w:type="character" w:customStyle="1" w:styleId="Heading3Char">
    <w:name w:val="Heading 3 Char"/>
    <w:basedOn w:val="DefaultParagraphFont"/>
    <w:link w:val="Heading3"/>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4Char">
    <w:name w:val="Heading 4 Char"/>
    <w:basedOn w:val="DefaultParagraphFont"/>
    <w:link w:val="Heading4"/>
    <w:uiPriority w:val="9"/>
    <w:semiHidden/>
    <w:rsid w:val="001538EF"/>
    <w:rPr>
      <w:rFonts w:asciiTheme="majorHAnsi" w:eastAsiaTheme="majorEastAsia" w:hAnsiTheme="majorHAnsi" w:cstheme="majorBidi"/>
      <w:i/>
      <w:iCs/>
      <w:color w:val="365F91" w:themeColor="accent1" w:themeShade="BF"/>
      <w:sz w:val="24"/>
      <w:szCs w:val="24"/>
      <w:lang w:eastAsia="bs-Latn-BA"/>
    </w:rPr>
  </w:style>
  <w:style w:type="character" w:customStyle="1" w:styleId="Heading5Char">
    <w:name w:val="Heading 5 Char"/>
    <w:basedOn w:val="DefaultParagraphFont"/>
    <w:link w:val="Heading5"/>
    <w:uiPriority w:val="9"/>
    <w:semiHidden/>
    <w:rsid w:val="001538EF"/>
    <w:rPr>
      <w:rFonts w:asciiTheme="majorHAnsi" w:eastAsiaTheme="majorEastAsia" w:hAnsiTheme="majorHAnsi" w:cstheme="majorBidi"/>
      <w:color w:val="365F91" w:themeColor="accent1" w:themeShade="BF"/>
      <w:sz w:val="24"/>
      <w:szCs w:val="24"/>
      <w:lang w:eastAsia="bs-Latn-BA"/>
    </w:rPr>
  </w:style>
  <w:style w:type="character" w:customStyle="1" w:styleId="Heading6Char">
    <w:name w:val="Heading 6 Char"/>
    <w:basedOn w:val="DefaultParagraphFont"/>
    <w:link w:val="Heading6"/>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7Char">
    <w:name w:val="Heading 7 Char"/>
    <w:basedOn w:val="DefaultParagraphFont"/>
    <w:link w:val="Heading7"/>
    <w:uiPriority w:val="9"/>
    <w:semiHidden/>
    <w:rsid w:val="001538EF"/>
    <w:rPr>
      <w:rFonts w:asciiTheme="majorHAnsi" w:eastAsiaTheme="majorEastAsia" w:hAnsiTheme="majorHAnsi" w:cstheme="majorBidi"/>
      <w:i/>
      <w:iCs/>
      <w:color w:val="243F60" w:themeColor="accent1" w:themeShade="7F"/>
      <w:sz w:val="24"/>
      <w:szCs w:val="24"/>
      <w:lang w:eastAsia="bs-Latn-BA"/>
    </w:rPr>
  </w:style>
  <w:style w:type="character" w:customStyle="1" w:styleId="Heading8Char">
    <w:name w:val="Heading 8 Char"/>
    <w:basedOn w:val="DefaultParagraphFont"/>
    <w:link w:val="Heading8"/>
    <w:uiPriority w:val="9"/>
    <w:semiHidden/>
    <w:rsid w:val="001538EF"/>
    <w:rPr>
      <w:rFonts w:asciiTheme="majorHAnsi" w:eastAsiaTheme="majorEastAsia" w:hAnsiTheme="majorHAnsi" w:cstheme="majorBidi"/>
      <w:color w:val="272727" w:themeColor="text1" w:themeTint="D8"/>
      <w:sz w:val="21"/>
      <w:szCs w:val="21"/>
      <w:lang w:eastAsia="bs-Latn-BA"/>
    </w:rPr>
  </w:style>
  <w:style w:type="character" w:customStyle="1" w:styleId="Heading9Char">
    <w:name w:val="Heading 9 Char"/>
    <w:basedOn w:val="DefaultParagraphFont"/>
    <w:link w:val="Heading9"/>
    <w:uiPriority w:val="9"/>
    <w:semiHidden/>
    <w:rsid w:val="001538EF"/>
    <w:rPr>
      <w:rFonts w:asciiTheme="majorHAnsi" w:eastAsiaTheme="majorEastAsia" w:hAnsiTheme="majorHAnsi" w:cstheme="majorBidi"/>
      <w:i/>
      <w:iCs/>
      <w:color w:val="272727" w:themeColor="text1" w:themeTint="D8"/>
      <w:sz w:val="21"/>
      <w:szCs w:val="21"/>
      <w:lang w:eastAsia="bs-Latn-BA"/>
    </w:rPr>
  </w:style>
  <w:style w:type="paragraph" w:styleId="Footer">
    <w:name w:val="footer"/>
    <w:basedOn w:val="Normal"/>
    <w:link w:val="FooterChar"/>
    <w:uiPriority w:val="99"/>
    <w:rsid w:val="001538EF"/>
    <w:pPr>
      <w:tabs>
        <w:tab w:val="center" w:pos="4320"/>
        <w:tab w:val="right" w:pos="8640"/>
      </w:tabs>
    </w:pPr>
  </w:style>
  <w:style w:type="character" w:customStyle="1" w:styleId="FooterChar">
    <w:name w:val="Footer Char"/>
    <w:basedOn w:val="DefaultParagraphFont"/>
    <w:link w:val="Footer"/>
    <w:uiPriority w:val="99"/>
    <w:rsid w:val="001538EF"/>
    <w:rPr>
      <w:rFonts w:ascii="Times New Roman" w:eastAsia="Times New Roman" w:hAnsi="Times New Roman" w:cs="Times New Roman"/>
      <w:color w:val="000000"/>
      <w:sz w:val="24"/>
      <w:szCs w:val="24"/>
      <w:lang w:eastAsia="bs-Latn-BA"/>
    </w:rPr>
  </w:style>
  <w:style w:type="paragraph" w:styleId="Header">
    <w:name w:val="header"/>
    <w:basedOn w:val="Normal"/>
    <w:link w:val="HeaderChar"/>
    <w:uiPriority w:val="99"/>
    <w:rsid w:val="001538EF"/>
    <w:pPr>
      <w:tabs>
        <w:tab w:val="center" w:pos="4320"/>
        <w:tab w:val="right" w:pos="8640"/>
      </w:tabs>
    </w:pPr>
  </w:style>
  <w:style w:type="character" w:customStyle="1" w:styleId="HeaderChar">
    <w:name w:val="Header Char"/>
    <w:basedOn w:val="DefaultParagraphFont"/>
    <w:link w:val="Header"/>
    <w:uiPriority w:val="99"/>
    <w:rsid w:val="001538EF"/>
    <w:rPr>
      <w:rFonts w:ascii="Times New Roman" w:eastAsia="Times New Roman" w:hAnsi="Times New Roman" w:cs="Times New Roman"/>
      <w:color w:val="000000"/>
      <w:sz w:val="24"/>
      <w:szCs w:val="24"/>
      <w:lang w:eastAsia="bs-Latn-BA"/>
    </w:rPr>
  </w:style>
  <w:style w:type="paragraph" w:styleId="ListParagraph">
    <w:name w:val="List Paragraph"/>
    <w:basedOn w:val="Normal"/>
    <w:uiPriority w:val="34"/>
    <w:qFormat/>
    <w:rsid w:val="001538EF"/>
    <w:pPr>
      <w:ind w:left="720"/>
      <w:contextualSpacing/>
    </w:pPr>
  </w:style>
  <w:style w:type="table" w:styleId="TableGrid">
    <w:name w:val="Table Grid"/>
    <w:basedOn w:val="TableNormal"/>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538EF"/>
    <w:rPr>
      <w:rFonts w:ascii="Tahoma" w:hAnsi="Tahoma" w:cs="Tahoma"/>
      <w:sz w:val="16"/>
      <w:szCs w:val="16"/>
    </w:rPr>
  </w:style>
  <w:style w:type="character" w:customStyle="1" w:styleId="BalloonTextChar">
    <w:name w:val="Balloon Text Char"/>
    <w:basedOn w:val="DefaultParagraphFont"/>
    <w:link w:val="BalloonText"/>
    <w:semiHidden/>
    <w:rsid w:val="001538EF"/>
    <w:rPr>
      <w:rFonts w:ascii="Tahoma" w:eastAsia="Times New Roman" w:hAnsi="Tahoma" w:cs="Tahoma"/>
      <w:color w:val="000000"/>
      <w:sz w:val="16"/>
      <w:szCs w:val="16"/>
      <w:lang w:eastAsia="bs-Latn-BA"/>
    </w:rPr>
  </w:style>
  <w:style w:type="character" w:styleId="CommentReference">
    <w:name w:val="annotation reference"/>
    <w:semiHidden/>
    <w:rsid w:val="001538EF"/>
    <w:rPr>
      <w:sz w:val="16"/>
      <w:szCs w:val="16"/>
    </w:rPr>
  </w:style>
  <w:style w:type="paragraph" w:styleId="CommentText">
    <w:name w:val="annotation text"/>
    <w:basedOn w:val="Normal"/>
    <w:link w:val="CommentTextChar"/>
    <w:semiHidden/>
    <w:rsid w:val="001538EF"/>
    <w:rPr>
      <w:sz w:val="20"/>
      <w:szCs w:val="20"/>
    </w:rPr>
  </w:style>
  <w:style w:type="character" w:customStyle="1" w:styleId="CommentTextChar">
    <w:name w:val="Comment Text Char"/>
    <w:basedOn w:val="DefaultParagraphFont"/>
    <w:link w:val="CommentText"/>
    <w:semiHidden/>
    <w:rsid w:val="001538EF"/>
    <w:rPr>
      <w:rFonts w:ascii="Times New Roman" w:eastAsia="Times New Roman" w:hAnsi="Times New Roman" w:cs="Times New Roman"/>
      <w:color w:val="000000"/>
      <w:sz w:val="20"/>
      <w:szCs w:val="20"/>
      <w:lang w:eastAsia="bs-Latn-BA"/>
    </w:rPr>
  </w:style>
  <w:style w:type="paragraph" w:styleId="CommentSubject">
    <w:name w:val="annotation subject"/>
    <w:basedOn w:val="CommentText"/>
    <w:next w:val="CommentText"/>
    <w:link w:val="CommentSubjectChar"/>
    <w:semiHidden/>
    <w:rsid w:val="001538EF"/>
    <w:rPr>
      <w:b/>
      <w:bCs/>
    </w:rPr>
  </w:style>
  <w:style w:type="character" w:customStyle="1" w:styleId="CommentSubjectChar">
    <w:name w:val="Comment Subject Char"/>
    <w:basedOn w:val="CommentTextChar"/>
    <w:link w:val="CommentSubject"/>
    <w:semiHidden/>
    <w:rsid w:val="001538EF"/>
    <w:rPr>
      <w:rFonts w:ascii="Times New Roman" w:eastAsia="Times New Roman" w:hAnsi="Times New Roman" w:cs="Times New Roman"/>
      <w:b/>
      <w:bCs/>
      <w:color w:val="000000"/>
      <w:sz w:val="20"/>
      <w:szCs w:val="20"/>
      <w:lang w:eastAsia="bs-Latn-BA"/>
    </w:rPr>
  </w:style>
  <w:style w:type="character" w:styleId="FootnoteReference">
    <w:name w:val="footnote reference"/>
    <w:semiHidden/>
    <w:rsid w:val="001538EF"/>
    <w:rPr>
      <w:vertAlign w:val="superscript"/>
    </w:rPr>
  </w:style>
  <w:style w:type="paragraph" w:styleId="FootnoteText">
    <w:name w:val="footnote text"/>
    <w:basedOn w:val="Normal"/>
    <w:link w:val="FootnoteTextChar"/>
    <w:semiHidden/>
    <w:rsid w:val="001538EF"/>
    <w:rPr>
      <w:sz w:val="20"/>
      <w:szCs w:val="20"/>
    </w:rPr>
  </w:style>
  <w:style w:type="character" w:customStyle="1" w:styleId="FootnoteTextChar">
    <w:name w:val="Footnote Text Char"/>
    <w:basedOn w:val="DefaultParagraphFont"/>
    <w:link w:val="FootnoteText"/>
    <w:semiHidden/>
    <w:rsid w:val="001538EF"/>
    <w:rPr>
      <w:rFonts w:ascii="Times New Roman" w:eastAsia="Times New Roman" w:hAnsi="Times New Roman" w:cs="Times New Roman"/>
      <w:color w:val="000000"/>
      <w:sz w:val="20"/>
      <w:szCs w:val="20"/>
      <w:lang w:eastAsia="bs-Latn-BA"/>
    </w:rPr>
  </w:style>
  <w:style w:type="character" w:styleId="Hyperlink">
    <w:name w:val="Hyperlink"/>
    <w:uiPriority w:val="99"/>
    <w:rsid w:val="001538EF"/>
    <w:rPr>
      <w:color w:val="0000FF"/>
      <w:u w:val="single"/>
    </w:rPr>
  </w:style>
  <w:style w:type="paragraph" w:styleId="NormalWeb">
    <w:name w:val="Normal (Web)"/>
    <w:basedOn w:val="Normal"/>
    <w:rsid w:val="001538EF"/>
    <w:pPr>
      <w:spacing w:after="225"/>
    </w:pPr>
  </w:style>
  <w:style w:type="paragraph" w:customStyle="1" w:styleId="Stav">
    <w:name w:val="Stav"/>
    <w:basedOn w:val="Normal"/>
    <w:qFormat/>
    <w:rsid w:val="001538EF"/>
    <w:pPr>
      <w:spacing w:after="120"/>
    </w:pPr>
    <w:rPr>
      <w:lang w:val="sr-Cyrl-CS"/>
    </w:rPr>
  </w:style>
  <w:style w:type="paragraph" w:customStyle="1" w:styleId="Num-Stav">
    <w:name w:val="Num-Stav"/>
    <w:basedOn w:val="Stav"/>
    <w:qFormat/>
    <w:rsid w:val="001538EF"/>
    <w:pPr>
      <w:numPr>
        <w:numId w:val="1"/>
      </w:numPr>
    </w:pPr>
  </w:style>
  <w:style w:type="character" w:styleId="PageNumber">
    <w:name w:val="page number"/>
    <w:basedOn w:val="DefaultParagraphFont"/>
    <w:rsid w:val="001538EF"/>
  </w:style>
  <w:style w:type="table" w:styleId="TableGrid20">
    <w:name w:val="Table Grid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List3">
    <w:name w:val="Table List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Web2">
    <w:name w:val="Table Web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5D0BE8"/>
    <w:pPr>
      <w:tabs>
        <w:tab w:val="left" w:pos="284"/>
        <w:tab w:val="right" w:leader="dot" w:pos="8635"/>
      </w:tabs>
      <w:spacing w:before="240" w:line="360" w:lineRule="auto"/>
    </w:pPr>
    <w:rPr>
      <w:rFonts w:asciiTheme="minorHAnsi" w:hAnsiTheme="minorHAnsi"/>
      <w:b/>
      <w:sz w:val="20"/>
    </w:rPr>
  </w:style>
  <w:style w:type="paragraph" w:styleId="TOC2">
    <w:name w:val="toc 2"/>
    <w:basedOn w:val="Normal"/>
    <w:next w:val="Normal"/>
    <w:autoRedefine/>
    <w:uiPriority w:val="39"/>
    <w:qFormat/>
    <w:rsid w:val="00BC5934"/>
    <w:pPr>
      <w:tabs>
        <w:tab w:val="left" w:pos="284"/>
        <w:tab w:val="right" w:leader="dot" w:pos="8647"/>
      </w:tabs>
      <w:spacing w:line="320" w:lineRule="exact"/>
      <w:ind w:left="426" w:right="140" w:hanging="426"/>
    </w:pPr>
    <w:rPr>
      <w:rFonts w:asciiTheme="minorHAnsi" w:hAnsiTheme="minorHAnsi"/>
      <w:sz w:val="20"/>
    </w:rPr>
  </w:style>
  <w:style w:type="paragraph" w:customStyle="1" w:styleId="Default">
    <w:name w:val="Default"/>
    <w:rsid w:val="001538EF"/>
    <w:pPr>
      <w:autoSpaceDE w:val="0"/>
      <w:autoSpaceDN w:val="0"/>
      <w:adjustRightInd w:val="0"/>
      <w:spacing w:after="0" w:line="240" w:lineRule="auto"/>
    </w:pPr>
    <w:rPr>
      <w:rFonts w:ascii="DMPEGO+Arial" w:hAnsi="DMPEGO+Arial" w:cs="DMPEGO+Arial"/>
      <w:color w:val="000000"/>
      <w:sz w:val="24"/>
      <w:szCs w:val="24"/>
    </w:rPr>
  </w:style>
  <w:style w:type="paragraph" w:customStyle="1" w:styleId="Glava">
    <w:name w:val="Glava"/>
    <w:basedOn w:val="Normal"/>
    <w:qFormat/>
    <w:rsid w:val="001538EF"/>
    <w:pPr>
      <w:keepNext/>
      <w:numPr>
        <w:numId w:val="2"/>
      </w:numPr>
      <w:spacing w:before="360" w:after="240"/>
    </w:pPr>
    <w:rPr>
      <w:b/>
      <w:caps/>
      <w:noProof/>
      <w:lang w:val="sr-Cyrl-RS"/>
    </w:rPr>
  </w:style>
  <w:style w:type="numbering" w:customStyle="1" w:styleId="Numerisanje">
    <w:name w:val="Numerisanje"/>
    <w:basedOn w:val="NoList"/>
    <w:uiPriority w:val="99"/>
    <w:rsid w:val="001538EF"/>
    <w:pPr>
      <w:numPr>
        <w:numId w:val="4"/>
      </w:numPr>
    </w:pPr>
  </w:style>
  <w:style w:type="paragraph" w:customStyle="1" w:styleId="lan">
    <w:name w:val="Član"/>
    <w:basedOn w:val="Normal"/>
    <w:qFormat/>
    <w:rsid w:val="001538EF"/>
    <w:pPr>
      <w:keepNext/>
      <w:numPr>
        <w:numId w:val="5"/>
      </w:numPr>
      <w:spacing w:before="360" w:after="240"/>
      <w:ind w:left="0" w:firstLine="0"/>
      <w:jc w:val="center"/>
    </w:pPr>
    <w:rPr>
      <w:b/>
      <w:noProof/>
    </w:rPr>
  </w:style>
  <w:style w:type="paragraph" w:customStyle="1" w:styleId="Oznacavanje">
    <w:name w:val="Oznacavanje"/>
    <w:basedOn w:val="Normal"/>
    <w:qFormat/>
    <w:rsid w:val="001538EF"/>
    <w:pPr>
      <w:numPr>
        <w:numId w:val="3"/>
      </w:numPr>
      <w:ind w:left="851" w:hanging="284"/>
    </w:pPr>
    <w:rPr>
      <w:noProof/>
      <w:lang w:val="sr-Cyrl-RS"/>
    </w:rPr>
  </w:style>
  <w:style w:type="table" w:customStyle="1" w:styleId="TableGrid1">
    <w:name w:val="Table Grid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538EF"/>
    <w:pPr>
      <w:keepNext/>
      <w:keepLines/>
      <w:spacing w:before="480" w:after="0" w:line="276" w:lineRule="auto"/>
      <w:jc w:val="left"/>
      <w:outlineLvl w:val="9"/>
    </w:pPr>
    <w:rPr>
      <w:rFonts w:asciiTheme="majorHAnsi" w:eastAsiaTheme="majorEastAsia" w:hAnsiTheme="majorHAnsi" w:cstheme="majorBidi"/>
      <w:b w:val="0"/>
      <w:bCs/>
      <w:caps w:val="0"/>
      <w:color w:val="365F91" w:themeColor="accent1" w:themeShade="BF"/>
      <w:kern w:val="0"/>
      <w:sz w:val="28"/>
      <w:szCs w:val="28"/>
      <w:lang w:val="en-US" w:eastAsia="ja-JP"/>
    </w:rPr>
  </w:style>
  <w:style w:type="numbering" w:customStyle="1" w:styleId="NoList1">
    <w:name w:val="No List1"/>
    <w:next w:val="NoList"/>
    <w:uiPriority w:val="99"/>
    <w:semiHidden/>
    <w:unhideWhenUsed/>
    <w:rsid w:val="001538EF"/>
  </w:style>
  <w:style w:type="table" w:customStyle="1" w:styleId="TableGrid3">
    <w:name w:val="Table Grid3"/>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 21"/>
    <w:basedOn w:val="TableNormal"/>
    <w:next w:val="TableGrid20"/>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Web21">
    <w:name w:val="Table Web 21"/>
    <w:basedOn w:val="TableNormal"/>
    <w:next w:val="TableWeb2"/>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538EF"/>
    <w:rPr>
      <w:color w:val="800080"/>
      <w:u w:val="single"/>
    </w:rPr>
  </w:style>
  <w:style w:type="paragraph" w:customStyle="1" w:styleId="xl66">
    <w:name w:val="xl6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7">
    <w:name w:val="xl6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8">
    <w:name w:val="xl68"/>
    <w:basedOn w:val="Normal"/>
    <w:rsid w:val="001538EF"/>
    <w:pPr>
      <w:pBdr>
        <w:top w:val="single" w:sz="8" w:space="0" w:color="auto"/>
        <w:left w:val="single" w:sz="8"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69">
    <w:name w:val="xl69"/>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0">
    <w:name w:val="xl70"/>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1">
    <w:name w:val="xl71"/>
    <w:basedOn w:val="Normal"/>
    <w:rsid w:val="001538EF"/>
    <w:pPr>
      <w:pBdr>
        <w:top w:val="single" w:sz="8" w:space="0" w:color="auto"/>
        <w:left w:val="single" w:sz="4" w:space="0" w:color="auto"/>
        <w:bottom w:val="single" w:sz="8" w:space="0" w:color="auto"/>
        <w:right w:val="single" w:sz="8" w:space="0" w:color="auto"/>
      </w:pBdr>
      <w:spacing w:before="100" w:beforeAutospacing="1" w:after="100" w:afterAutospacing="1"/>
      <w:jc w:val="left"/>
    </w:pPr>
    <w:rPr>
      <w:b/>
      <w:bCs/>
      <w:color w:val="auto"/>
    </w:rPr>
  </w:style>
  <w:style w:type="paragraph" w:customStyle="1" w:styleId="xl72">
    <w:name w:val="xl72"/>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rPr>
  </w:style>
  <w:style w:type="paragraph" w:customStyle="1" w:styleId="xl73">
    <w:name w:val="xl7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4">
    <w:name w:val="xl7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5">
    <w:name w:val="xl7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6">
    <w:name w:val="xl7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7">
    <w:name w:val="xl77"/>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8">
    <w:name w:val="xl78"/>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9">
    <w:name w:val="xl79"/>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80">
    <w:name w:val="xl80"/>
    <w:basedOn w:val="Normal"/>
    <w:rsid w:val="001538EF"/>
    <w:pPr>
      <w:pBdr>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1">
    <w:name w:val="xl8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2">
    <w:name w:val="xl8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83">
    <w:name w:val="xl8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4">
    <w:name w:val="xl8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font5">
    <w:name w:val="font5"/>
    <w:basedOn w:val="Normal"/>
    <w:rsid w:val="001538EF"/>
    <w:pPr>
      <w:spacing w:before="100" w:beforeAutospacing="1" w:after="100" w:afterAutospacing="1"/>
      <w:jc w:val="left"/>
    </w:pPr>
    <w:rPr>
      <w:rFonts w:ascii="Calibri" w:hAnsi="Calibri"/>
      <w:b/>
      <w:bCs/>
      <w:lang w:val="en-US" w:eastAsia="en-US"/>
    </w:rPr>
  </w:style>
  <w:style w:type="paragraph" w:customStyle="1" w:styleId="xl65">
    <w:name w:val="xl65"/>
    <w:basedOn w:val="Normal"/>
    <w:rsid w:val="001538EF"/>
    <w:pPr>
      <w:spacing w:before="100" w:beforeAutospacing="1" w:after="100" w:afterAutospacing="1"/>
      <w:jc w:val="left"/>
    </w:pPr>
    <w:rPr>
      <w:rFonts w:ascii="Calibri" w:hAnsi="Calibri"/>
      <w:color w:val="auto"/>
      <w:lang w:val="en-US" w:eastAsia="en-US"/>
    </w:rPr>
  </w:style>
  <w:style w:type="paragraph" w:customStyle="1" w:styleId="xl85">
    <w:name w:val="xl8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i/>
      <w:iCs/>
      <w:lang w:val="en-US" w:eastAsia="en-US"/>
    </w:rPr>
  </w:style>
  <w:style w:type="paragraph" w:customStyle="1" w:styleId="xl86">
    <w:name w:val="xl8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i/>
      <w:iCs/>
      <w:lang w:val="en-US" w:eastAsia="en-US"/>
    </w:rPr>
  </w:style>
  <w:style w:type="paragraph" w:customStyle="1" w:styleId="xl87">
    <w:name w:val="xl87"/>
    <w:basedOn w:val="Normal"/>
    <w:rsid w:val="001538EF"/>
    <w:pPr>
      <w:spacing w:before="100" w:beforeAutospacing="1" w:after="100" w:afterAutospacing="1"/>
      <w:jc w:val="left"/>
    </w:pPr>
    <w:rPr>
      <w:rFonts w:ascii="Calibri" w:hAnsi="Calibri"/>
      <w:i/>
      <w:iCs/>
      <w:color w:val="auto"/>
      <w:lang w:val="en-US" w:eastAsia="en-US"/>
    </w:rPr>
  </w:style>
  <w:style w:type="paragraph" w:customStyle="1" w:styleId="xl88">
    <w:name w:val="xl8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color w:val="auto"/>
      <w:lang w:val="en-US" w:eastAsia="en-US"/>
    </w:rPr>
  </w:style>
  <w:style w:type="paragraph" w:customStyle="1" w:styleId="xl89">
    <w:name w:val="xl89"/>
    <w:basedOn w:val="Normal"/>
    <w:rsid w:val="001538EF"/>
    <w:pPr>
      <w:spacing w:before="100" w:beforeAutospacing="1" w:after="100" w:afterAutospacing="1"/>
      <w:jc w:val="left"/>
    </w:pPr>
    <w:rPr>
      <w:rFonts w:ascii="Calibri" w:hAnsi="Calibri"/>
      <w:b/>
      <w:bCs/>
      <w:i/>
      <w:iCs/>
      <w:color w:val="auto"/>
      <w:lang w:val="en-US" w:eastAsia="en-US"/>
    </w:rPr>
  </w:style>
  <w:style w:type="paragraph" w:customStyle="1" w:styleId="xl90">
    <w:name w:val="xl9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lang w:val="en-US" w:eastAsia="en-US"/>
    </w:rPr>
  </w:style>
  <w:style w:type="paragraph" w:customStyle="1" w:styleId="xl91">
    <w:name w:val="xl91"/>
    <w:basedOn w:val="Normal"/>
    <w:rsid w:val="001538EF"/>
    <w:pPr>
      <w:spacing w:before="100" w:beforeAutospacing="1" w:after="100" w:afterAutospacing="1"/>
      <w:jc w:val="left"/>
    </w:pPr>
    <w:rPr>
      <w:rFonts w:ascii="Calibri" w:hAnsi="Calibri"/>
      <w:color w:val="auto"/>
      <w:lang w:val="en-US" w:eastAsia="en-US"/>
    </w:rPr>
  </w:style>
  <w:style w:type="paragraph" w:customStyle="1" w:styleId="xl92">
    <w:name w:val="xl9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i/>
      <w:iCs/>
      <w:lang w:val="en-US" w:eastAsia="en-US"/>
    </w:rPr>
  </w:style>
  <w:style w:type="paragraph" w:customStyle="1" w:styleId="xl93">
    <w:name w:val="xl9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lang w:val="en-US" w:eastAsia="en-US"/>
    </w:rPr>
  </w:style>
  <w:style w:type="paragraph" w:customStyle="1" w:styleId="xl94">
    <w:name w:val="xl9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i/>
      <w:iCs/>
      <w:lang w:val="en-US" w:eastAsia="en-US"/>
    </w:rPr>
  </w:style>
  <w:style w:type="paragraph" w:customStyle="1" w:styleId="xl95">
    <w:name w:val="xl9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lang w:val="en-US" w:eastAsia="en-US"/>
    </w:rPr>
  </w:style>
  <w:style w:type="paragraph" w:customStyle="1" w:styleId="xl96">
    <w:name w:val="xl9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7">
    <w:name w:val="xl9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8">
    <w:name w:val="xl9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sz w:val="28"/>
      <w:szCs w:val="28"/>
      <w:lang w:val="en-US" w:eastAsia="en-US"/>
    </w:rPr>
  </w:style>
  <w:style w:type="paragraph" w:customStyle="1" w:styleId="xl99">
    <w:name w:val="xl99"/>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auto"/>
      <w:sz w:val="28"/>
      <w:szCs w:val="28"/>
      <w:lang w:val="en-US" w:eastAsia="en-US"/>
    </w:rPr>
  </w:style>
  <w:style w:type="paragraph" w:customStyle="1" w:styleId="xl100">
    <w:name w:val="xl10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28"/>
      <w:szCs w:val="28"/>
      <w:lang w:val="en-US" w:eastAsia="en-US"/>
    </w:rPr>
  </w:style>
  <w:style w:type="paragraph" w:customStyle="1" w:styleId="xl101">
    <w:name w:val="xl10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paragraph" w:customStyle="1" w:styleId="xl102">
    <w:name w:val="xl10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sz w:val="28"/>
      <w:szCs w:val="28"/>
      <w:lang w:val="en-US" w:eastAsia="en-US"/>
    </w:rPr>
  </w:style>
  <w:style w:type="paragraph" w:customStyle="1" w:styleId="xl103">
    <w:name w:val="xl10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table" w:customStyle="1" w:styleId="TableGrid4">
    <w:name w:val="Table Grid4"/>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4">
    <w:name w:val="xl104"/>
    <w:basedOn w:val="Normal"/>
    <w:rsid w:val="001538EF"/>
    <w:pPr>
      <w:pBdr>
        <w:bottom w:val="single" w:sz="8" w:space="0" w:color="auto"/>
        <w:right w:val="single" w:sz="8" w:space="0" w:color="auto"/>
      </w:pBdr>
      <w:spacing w:before="100" w:beforeAutospacing="1" w:after="100" w:afterAutospacing="1"/>
      <w:jc w:val="right"/>
      <w:textAlignment w:val="center"/>
    </w:pPr>
  </w:style>
  <w:style w:type="paragraph" w:customStyle="1" w:styleId="xl105">
    <w:name w:val="xl105"/>
    <w:basedOn w:val="Normal"/>
    <w:rsid w:val="001538E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i/>
      <w:iCs/>
    </w:rPr>
  </w:style>
  <w:style w:type="paragraph" w:customStyle="1" w:styleId="xl106">
    <w:name w:val="xl106"/>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07">
    <w:name w:val="xl107"/>
    <w:basedOn w:val="Normal"/>
    <w:rsid w:val="001538EF"/>
    <w:pPr>
      <w:pBdr>
        <w:bottom w:val="single" w:sz="8" w:space="0" w:color="auto"/>
        <w:right w:val="single" w:sz="8" w:space="0" w:color="auto"/>
      </w:pBdr>
      <w:spacing w:before="100" w:beforeAutospacing="1" w:after="100" w:afterAutospacing="1"/>
      <w:textAlignment w:val="top"/>
    </w:pPr>
  </w:style>
  <w:style w:type="paragraph" w:customStyle="1" w:styleId="xl108">
    <w:name w:val="xl10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rPr>
  </w:style>
  <w:style w:type="paragraph" w:customStyle="1" w:styleId="xl109">
    <w:name w:val="xl109"/>
    <w:basedOn w:val="Normal"/>
    <w:rsid w:val="001538EF"/>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110">
    <w:name w:val="xl110"/>
    <w:basedOn w:val="Normal"/>
    <w:rsid w:val="001538EF"/>
    <w:pPr>
      <w:spacing w:before="100" w:beforeAutospacing="1" w:after="100" w:afterAutospacing="1"/>
      <w:jc w:val="right"/>
    </w:pPr>
    <w:rPr>
      <w:color w:val="auto"/>
    </w:rPr>
  </w:style>
  <w:style w:type="paragraph" w:customStyle="1" w:styleId="xl111">
    <w:name w:val="xl111"/>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2">
    <w:name w:val="xl112"/>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3">
    <w:name w:val="xl113"/>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14">
    <w:name w:val="xl114"/>
    <w:basedOn w:val="Normal"/>
    <w:rsid w:val="001538EF"/>
    <w:pPr>
      <w:pBdr>
        <w:bottom w:val="single" w:sz="8" w:space="0" w:color="auto"/>
        <w:right w:val="single" w:sz="8" w:space="0" w:color="auto"/>
      </w:pBdr>
      <w:spacing w:before="100" w:beforeAutospacing="1" w:after="100" w:afterAutospacing="1"/>
      <w:textAlignment w:val="center"/>
    </w:pPr>
    <w:rPr>
      <w:color w:val="auto"/>
      <w:sz w:val="18"/>
      <w:szCs w:val="18"/>
    </w:rPr>
  </w:style>
  <w:style w:type="paragraph" w:customStyle="1" w:styleId="xl115">
    <w:name w:val="xl115"/>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color w:val="auto"/>
      <w:sz w:val="18"/>
      <w:szCs w:val="18"/>
    </w:rPr>
  </w:style>
  <w:style w:type="paragraph" w:customStyle="1" w:styleId="xl116">
    <w:name w:val="xl11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7">
    <w:name w:val="xl11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8">
    <w:name w:val="xl118"/>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9">
    <w:name w:val="xl119"/>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20">
    <w:name w:val="xl120"/>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1">
    <w:name w:val="xl121"/>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2">
    <w:name w:val="xl122"/>
    <w:basedOn w:val="Normal"/>
    <w:rsid w:val="001538EF"/>
    <w:pPr>
      <w:pBdr>
        <w:bottom w:val="single" w:sz="8" w:space="0" w:color="auto"/>
        <w:right w:val="single" w:sz="8" w:space="0" w:color="auto"/>
      </w:pBdr>
      <w:spacing w:before="100" w:beforeAutospacing="1" w:after="100" w:afterAutospacing="1"/>
      <w:jc w:val="right"/>
      <w:textAlignment w:val="center"/>
    </w:pPr>
    <w:rPr>
      <w:b/>
      <w:bCs/>
      <w:i/>
      <w:iCs/>
      <w:sz w:val="18"/>
      <w:szCs w:val="18"/>
    </w:rPr>
  </w:style>
  <w:style w:type="paragraph" w:customStyle="1" w:styleId="xl123">
    <w:name w:val="xl123"/>
    <w:basedOn w:val="Normal"/>
    <w:rsid w:val="001538EF"/>
    <w:pPr>
      <w:pBdr>
        <w:bottom w:val="single" w:sz="8" w:space="0" w:color="auto"/>
        <w:right w:val="single" w:sz="8" w:space="0" w:color="auto"/>
      </w:pBdr>
      <w:spacing w:before="100" w:beforeAutospacing="1" w:after="100" w:afterAutospacing="1"/>
      <w:textAlignment w:val="center"/>
    </w:pPr>
    <w:rPr>
      <w:b/>
      <w:bCs/>
      <w:i/>
      <w:iCs/>
      <w:sz w:val="18"/>
      <w:szCs w:val="18"/>
    </w:rPr>
  </w:style>
  <w:style w:type="paragraph" w:customStyle="1" w:styleId="xl124">
    <w:name w:val="xl124"/>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5">
    <w:name w:val="xl125"/>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paragraph" w:customStyle="1" w:styleId="xl126">
    <w:name w:val="xl12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7">
    <w:name w:val="xl12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8">
    <w:name w:val="xl128"/>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character" w:customStyle="1" w:styleId="tekst1">
    <w:name w:val="tekst1"/>
    <w:rsid w:val="001538EF"/>
    <w:rPr>
      <w:rFonts w:ascii="Arial" w:hAnsi="Arial" w:cs="Arial" w:hint="default"/>
      <w:color w:val="000000"/>
      <w:sz w:val="18"/>
      <w:szCs w:val="18"/>
    </w:rPr>
  </w:style>
  <w:style w:type="paragraph" w:styleId="NoSpacing">
    <w:name w:val="No Spacing"/>
    <w:uiPriority w:val="1"/>
    <w:qFormat/>
    <w:rsid w:val="001538EF"/>
    <w:pPr>
      <w:spacing w:after="0" w:line="240" w:lineRule="auto"/>
      <w:jc w:val="both"/>
    </w:pPr>
    <w:rPr>
      <w:rFonts w:ascii="Times New Roman" w:eastAsia="Times New Roman" w:hAnsi="Times New Roman" w:cs="Times New Roman"/>
      <w:color w:val="000000"/>
      <w:sz w:val="24"/>
      <w:szCs w:val="24"/>
      <w:lang w:eastAsia="bs-Latn-BA"/>
    </w:rPr>
  </w:style>
  <w:style w:type="paragraph" w:customStyle="1" w:styleId="font6">
    <w:name w:val="font6"/>
    <w:basedOn w:val="Normal"/>
    <w:rsid w:val="001538EF"/>
    <w:pPr>
      <w:spacing w:before="100" w:beforeAutospacing="1" w:after="100" w:afterAutospacing="1"/>
      <w:jc w:val="left"/>
    </w:pPr>
    <w:rPr>
      <w:rFonts w:ascii="Tahoma" w:hAnsi="Tahoma" w:cs="Tahoma"/>
      <w:b/>
      <w:bCs/>
      <w:sz w:val="18"/>
      <w:szCs w:val="18"/>
    </w:rPr>
  </w:style>
  <w:style w:type="paragraph" w:customStyle="1" w:styleId="xl129">
    <w:name w:val="xl129"/>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i/>
      <w:iCs/>
      <w:color w:val="auto"/>
      <w:sz w:val="18"/>
      <w:szCs w:val="18"/>
    </w:rPr>
  </w:style>
  <w:style w:type="paragraph" w:customStyle="1" w:styleId="xl130">
    <w:name w:val="xl130"/>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1">
    <w:name w:val="xl131"/>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2">
    <w:name w:val="xl132"/>
    <w:basedOn w:val="Normal"/>
    <w:rsid w:val="001538EF"/>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3">
    <w:name w:val="xl133"/>
    <w:basedOn w:val="Normal"/>
    <w:rsid w:val="001538EF"/>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4">
    <w:name w:val="xl13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table" w:customStyle="1" w:styleId="TableGrid5">
    <w:name w:val="Table Grid5"/>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semiHidden/>
    <w:unhideWhenUsed/>
    <w:qFormat/>
    <w:rsid w:val="001538EF"/>
    <w:pPr>
      <w:spacing w:after="100" w:line="276" w:lineRule="auto"/>
      <w:ind w:left="440"/>
      <w:jc w:val="left"/>
    </w:pPr>
    <w:rPr>
      <w:rFonts w:asciiTheme="minorHAnsi" w:eastAsiaTheme="minorEastAsia" w:hAnsiTheme="minorHAnsi" w:cstheme="minorBidi"/>
      <w:color w:val="auto"/>
      <w:sz w:val="22"/>
      <w:szCs w:val="22"/>
      <w:lang w:val="en-US" w:eastAsia="ja-JP"/>
    </w:rPr>
  </w:style>
  <w:style w:type="paragraph" w:customStyle="1" w:styleId="xl135">
    <w:name w:val="xl135"/>
    <w:basedOn w:val="Normal"/>
    <w:rsid w:val="001538E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
    <w:rsid w:val="001538E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color w:val="auto"/>
      <w:sz w:val="18"/>
      <w:szCs w:val="18"/>
    </w:rPr>
  </w:style>
  <w:style w:type="paragraph" w:customStyle="1" w:styleId="xl137">
    <w:name w:val="xl137"/>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8">
    <w:name w:val="xl138"/>
    <w:basedOn w:val="Normal"/>
    <w:rsid w:val="001538EF"/>
    <w:pPr>
      <w:pBdr>
        <w:top w:val="single" w:sz="4" w:space="0" w:color="auto"/>
        <w:bottom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9">
    <w:name w:val="xl139"/>
    <w:basedOn w:val="Normal"/>
    <w:rsid w:val="001538EF"/>
    <w:pPr>
      <w:pBdr>
        <w:top w:val="single" w:sz="4" w:space="0" w:color="auto"/>
        <w:right w:val="single" w:sz="4" w:space="0" w:color="auto"/>
      </w:pBdr>
      <w:shd w:val="clear" w:color="000000" w:fill="FCD5B4"/>
      <w:spacing w:before="100" w:beforeAutospacing="1" w:after="100" w:afterAutospacing="1"/>
      <w:jc w:val="left"/>
      <w:textAlignment w:val="center"/>
    </w:pPr>
    <w:rPr>
      <w:b/>
      <w:bCs/>
      <w:sz w:val="18"/>
      <w:szCs w:val="18"/>
    </w:rPr>
  </w:style>
  <w:style w:type="paragraph" w:customStyle="1" w:styleId="xl140">
    <w:name w:val="xl140"/>
    <w:basedOn w:val="Normal"/>
    <w:rsid w:val="001538EF"/>
    <w:pPr>
      <w:spacing w:before="100" w:beforeAutospacing="1" w:after="100" w:afterAutospacing="1"/>
      <w:jc w:val="left"/>
    </w:pPr>
    <w:rPr>
      <w:color w:val="auto"/>
      <w:sz w:val="18"/>
      <w:szCs w:val="18"/>
    </w:rPr>
  </w:style>
  <w:style w:type="paragraph" w:customStyle="1" w:styleId="xl141">
    <w:name w:val="xl141"/>
    <w:basedOn w:val="Normal"/>
    <w:rsid w:val="001538EF"/>
    <w:pPr>
      <w:spacing w:before="100" w:beforeAutospacing="1" w:after="100" w:afterAutospacing="1"/>
      <w:jc w:val="right"/>
      <w:textAlignment w:val="center"/>
    </w:pPr>
    <w:rPr>
      <w:color w:val="auto"/>
      <w:sz w:val="18"/>
      <w:szCs w:val="18"/>
    </w:rPr>
  </w:style>
  <w:style w:type="table" w:customStyle="1" w:styleId="TableGrid51">
    <w:name w:val="Table Grid51"/>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1,b,heading3,Body Text - Level 2,Body Text x,Szövegtörzs1,body text,contents,body,b-heading 1/heading 2,bd,heading1body-heading2body,bt"/>
    <w:basedOn w:val="Normal"/>
    <w:link w:val="BodyTextChar"/>
    <w:uiPriority w:val="99"/>
    <w:rsid w:val="001538EF"/>
    <w:pPr>
      <w:widowControl w:val="0"/>
      <w:spacing w:after="240"/>
      <w:jc w:val="left"/>
    </w:pPr>
    <w:rPr>
      <w:color w:val="auto"/>
      <w:szCs w:val="20"/>
      <w:lang w:val="en-US" w:eastAsia="en-US"/>
    </w:rPr>
  </w:style>
  <w:style w:type="character" w:customStyle="1" w:styleId="BodyTextChar">
    <w:name w:val="Body Text Char"/>
    <w:aliases w:val="Body Text1 Char,b Char,heading3 Char,Body Text - Level 2 Char,Body Text x Char,Szövegtörzs1 Char,body text Char,contents Char,body Char,b-heading 1/heading 2 Char,bd Char,heading1body-heading2body Char,bt Char"/>
    <w:basedOn w:val="DefaultParagraphFont"/>
    <w:link w:val="BodyText"/>
    <w:uiPriority w:val="99"/>
    <w:rsid w:val="001538EF"/>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1538EF"/>
    <w:pPr>
      <w:widowControl w:val="0"/>
      <w:autoSpaceDE w:val="0"/>
      <w:autoSpaceDN w:val="0"/>
      <w:ind w:left="105"/>
      <w:jc w:val="left"/>
    </w:pPr>
    <w:rPr>
      <w:color w:val="auto"/>
      <w:sz w:val="22"/>
      <w:szCs w:val="22"/>
      <w:lang w:val="en-US" w:eastAsia="en-US"/>
    </w:rPr>
  </w:style>
  <w:style w:type="paragraph" w:customStyle="1" w:styleId="xl63">
    <w:name w:val="xl63"/>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Narrow" w:hAnsi="Arial Narrow"/>
      <w:b/>
      <w:bCs/>
      <w:color w:val="080000"/>
    </w:rPr>
  </w:style>
  <w:style w:type="paragraph" w:customStyle="1" w:styleId="xl64">
    <w:name w:val="xl64"/>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bottom"/>
    </w:pPr>
    <w:rPr>
      <w:rFonts w:ascii="Arial Narrow" w:hAnsi="Arial Narrow"/>
      <w:b/>
      <w:bCs/>
      <w:color w:val="080000"/>
    </w:rPr>
  </w:style>
  <w:style w:type="numbering" w:customStyle="1" w:styleId="Stil1">
    <w:name w:val="Stil1"/>
    <w:uiPriority w:val="99"/>
    <w:rsid w:val="001538EF"/>
    <w:pPr>
      <w:numPr>
        <w:numId w:val="6"/>
      </w:numPr>
    </w:pPr>
  </w:style>
  <w:style w:type="numbering" w:customStyle="1" w:styleId="Stil2">
    <w:name w:val="Stil2"/>
    <w:uiPriority w:val="99"/>
    <w:rsid w:val="001538EF"/>
    <w:pPr>
      <w:numPr>
        <w:numId w:val="12"/>
      </w:numPr>
    </w:pPr>
  </w:style>
  <w:style w:type="numbering" w:customStyle="1" w:styleId="Stil5">
    <w:name w:val="Stil5"/>
    <w:uiPriority w:val="99"/>
    <w:rsid w:val="001538EF"/>
    <w:pPr>
      <w:numPr>
        <w:numId w:val="13"/>
      </w:numPr>
    </w:pPr>
  </w:style>
  <w:style w:type="paragraph" w:customStyle="1" w:styleId="Heading11">
    <w:name w:val="Heading 11"/>
    <w:basedOn w:val="Normal"/>
    <w:rsid w:val="001538EF"/>
    <w:pPr>
      <w:numPr>
        <w:numId w:val="17"/>
      </w:numPr>
      <w:spacing w:after="240"/>
      <w:ind w:left="357" w:hanging="357"/>
    </w:pPr>
    <w:rPr>
      <w:rFonts w:ascii="Calibri" w:hAnsi="Calibri"/>
      <w:b/>
      <w:caps/>
      <w:sz w:val="22"/>
    </w:rPr>
  </w:style>
  <w:style w:type="paragraph" w:customStyle="1" w:styleId="Heading21">
    <w:name w:val="Heading 21"/>
    <w:basedOn w:val="Normal"/>
    <w:rsid w:val="001538EF"/>
    <w:pPr>
      <w:numPr>
        <w:ilvl w:val="1"/>
        <w:numId w:val="17"/>
      </w:numPr>
    </w:pPr>
  </w:style>
  <w:style w:type="paragraph" w:customStyle="1" w:styleId="Heading31">
    <w:name w:val="Heading 31"/>
    <w:basedOn w:val="Normal"/>
    <w:rsid w:val="001538EF"/>
    <w:pPr>
      <w:numPr>
        <w:ilvl w:val="2"/>
        <w:numId w:val="17"/>
      </w:numPr>
    </w:pPr>
  </w:style>
  <w:style w:type="paragraph" w:customStyle="1" w:styleId="Heading41">
    <w:name w:val="Heading 41"/>
    <w:basedOn w:val="Normal"/>
    <w:rsid w:val="001538EF"/>
    <w:pPr>
      <w:numPr>
        <w:ilvl w:val="3"/>
        <w:numId w:val="17"/>
      </w:numPr>
    </w:pPr>
  </w:style>
  <w:style w:type="paragraph" w:customStyle="1" w:styleId="Heading51">
    <w:name w:val="Heading 51"/>
    <w:basedOn w:val="Normal"/>
    <w:rsid w:val="001538EF"/>
    <w:pPr>
      <w:numPr>
        <w:ilvl w:val="4"/>
        <w:numId w:val="17"/>
      </w:numPr>
    </w:pPr>
  </w:style>
  <w:style w:type="paragraph" w:customStyle="1" w:styleId="Heading61">
    <w:name w:val="Heading 61"/>
    <w:basedOn w:val="Normal"/>
    <w:rsid w:val="001538EF"/>
    <w:pPr>
      <w:numPr>
        <w:ilvl w:val="5"/>
        <w:numId w:val="17"/>
      </w:numPr>
    </w:pPr>
  </w:style>
  <w:style w:type="paragraph" w:customStyle="1" w:styleId="Heading71">
    <w:name w:val="Heading 71"/>
    <w:basedOn w:val="Normal"/>
    <w:rsid w:val="001538EF"/>
    <w:pPr>
      <w:numPr>
        <w:ilvl w:val="6"/>
        <w:numId w:val="17"/>
      </w:numPr>
    </w:pPr>
  </w:style>
  <w:style w:type="paragraph" w:customStyle="1" w:styleId="Heading81">
    <w:name w:val="Heading 81"/>
    <w:basedOn w:val="Normal"/>
    <w:rsid w:val="001538EF"/>
    <w:pPr>
      <w:numPr>
        <w:ilvl w:val="7"/>
        <w:numId w:val="17"/>
      </w:numPr>
    </w:pPr>
  </w:style>
  <w:style w:type="paragraph" w:customStyle="1" w:styleId="Heading91">
    <w:name w:val="Heading 91"/>
    <w:basedOn w:val="Normal"/>
    <w:rsid w:val="001538EF"/>
    <w:pPr>
      <w:numPr>
        <w:ilvl w:val="8"/>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1020">
      <w:bodyDiv w:val="1"/>
      <w:marLeft w:val="0"/>
      <w:marRight w:val="0"/>
      <w:marTop w:val="0"/>
      <w:marBottom w:val="0"/>
      <w:divBdr>
        <w:top w:val="none" w:sz="0" w:space="0" w:color="auto"/>
        <w:left w:val="none" w:sz="0" w:space="0" w:color="auto"/>
        <w:bottom w:val="none" w:sz="0" w:space="0" w:color="auto"/>
        <w:right w:val="none" w:sz="0" w:space="0" w:color="auto"/>
      </w:divBdr>
    </w:div>
    <w:div w:id="237906957">
      <w:bodyDiv w:val="1"/>
      <w:marLeft w:val="0"/>
      <w:marRight w:val="0"/>
      <w:marTop w:val="0"/>
      <w:marBottom w:val="0"/>
      <w:divBdr>
        <w:top w:val="none" w:sz="0" w:space="0" w:color="auto"/>
        <w:left w:val="none" w:sz="0" w:space="0" w:color="auto"/>
        <w:bottom w:val="none" w:sz="0" w:space="0" w:color="auto"/>
        <w:right w:val="none" w:sz="0" w:space="0" w:color="auto"/>
      </w:divBdr>
    </w:div>
    <w:div w:id="247274794">
      <w:bodyDiv w:val="1"/>
      <w:marLeft w:val="0"/>
      <w:marRight w:val="0"/>
      <w:marTop w:val="0"/>
      <w:marBottom w:val="0"/>
      <w:divBdr>
        <w:top w:val="none" w:sz="0" w:space="0" w:color="auto"/>
        <w:left w:val="none" w:sz="0" w:space="0" w:color="auto"/>
        <w:bottom w:val="none" w:sz="0" w:space="0" w:color="auto"/>
        <w:right w:val="none" w:sz="0" w:space="0" w:color="auto"/>
      </w:divBdr>
    </w:div>
    <w:div w:id="320622391">
      <w:bodyDiv w:val="1"/>
      <w:marLeft w:val="0"/>
      <w:marRight w:val="0"/>
      <w:marTop w:val="0"/>
      <w:marBottom w:val="0"/>
      <w:divBdr>
        <w:top w:val="none" w:sz="0" w:space="0" w:color="auto"/>
        <w:left w:val="none" w:sz="0" w:space="0" w:color="auto"/>
        <w:bottom w:val="none" w:sz="0" w:space="0" w:color="auto"/>
        <w:right w:val="none" w:sz="0" w:space="0" w:color="auto"/>
      </w:divBdr>
    </w:div>
    <w:div w:id="512307475">
      <w:bodyDiv w:val="1"/>
      <w:marLeft w:val="0"/>
      <w:marRight w:val="0"/>
      <w:marTop w:val="0"/>
      <w:marBottom w:val="0"/>
      <w:divBdr>
        <w:top w:val="none" w:sz="0" w:space="0" w:color="auto"/>
        <w:left w:val="none" w:sz="0" w:space="0" w:color="auto"/>
        <w:bottom w:val="none" w:sz="0" w:space="0" w:color="auto"/>
        <w:right w:val="none" w:sz="0" w:space="0" w:color="auto"/>
      </w:divBdr>
    </w:div>
    <w:div w:id="981234571">
      <w:bodyDiv w:val="1"/>
      <w:marLeft w:val="0"/>
      <w:marRight w:val="0"/>
      <w:marTop w:val="0"/>
      <w:marBottom w:val="0"/>
      <w:divBdr>
        <w:top w:val="none" w:sz="0" w:space="0" w:color="auto"/>
        <w:left w:val="none" w:sz="0" w:space="0" w:color="auto"/>
        <w:bottom w:val="none" w:sz="0" w:space="0" w:color="auto"/>
        <w:right w:val="none" w:sz="0" w:space="0" w:color="auto"/>
      </w:divBdr>
    </w:div>
    <w:div w:id="1377007981">
      <w:bodyDiv w:val="1"/>
      <w:marLeft w:val="0"/>
      <w:marRight w:val="0"/>
      <w:marTop w:val="0"/>
      <w:marBottom w:val="0"/>
      <w:divBdr>
        <w:top w:val="none" w:sz="0" w:space="0" w:color="auto"/>
        <w:left w:val="none" w:sz="0" w:space="0" w:color="auto"/>
        <w:bottom w:val="none" w:sz="0" w:space="0" w:color="auto"/>
        <w:right w:val="none" w:sz="0" w:space="0" w:color="auto"/>
      </w:divBdr>
    </w:div>
    <w:div w:id="1716538791">
      <w:bodyDiv w:val="1"/>
      <w:marLeft w:val="0"/>
      <w:marRight w:val="0"/>
      <w:marTop w:val="0"/>
      <w:marBottom w:val="0"/>
      <w:divBdr>
        <w:top w:val="none" w:sz="0" w:space="0" w:color="auto"/>
        <w:left w:val="none" w:sz="0" w:space="0" w:color="auto"/>
        <w:bottom w:val="none" w:sz="0" w:space="0" w:color="auto"/>
        <w:right w:val="none" w:sz="0" w:space="0" w:color="auto"/>
      </w:divBdr>
    </w:div>
    <w:div w:id="1741173547">
      <w:bodyDiv w:val="1"/>
      <w:marLeft w:val="0"/>
      <w:marRight w:val="0"/>
      <w:marTop w:val="0"/>
      <w:marBottom w:val="0"/>
      <w:divBdr>
        <w:top w:val="none" w:sz="0" w:space="0" w:color="auto"/>
        <w:left w:val="none" w:sz="0" w:space="0" w:color="auto"/>
        <w:bottom w:val="none" w:sz="0" w:space="0" w:color="auto"/>
        <w:right w:val="none" w:sz="0" w:space="0" w:color="auto"/>
      </w:divBdr>
    </w:div>
    <w:div w:id="1809935574">
      <w:bodyDiv w:val="1"/>
      <w:marLeft w:val="0"/>
      <w:marRight w:val="0"/>
      <w:marTop w:val="0"/>
      <w:marBottom w:val="0"/>
      <w:divBdr>
        <w:top w:val="none" w:sz="0" w:space="0" w:color="auto"/>
        <w:left w:val="none" w:sz="0" w:space="0" w:color="auto"/>
        <w:bottom w:val="none" w:sz="0" w:space="0" w:color="auto"/>
        <w:right w:val="none" w:sz="0" w:space="0" w:color="auto"/>
      </w:divBdr>
    </w:div>
    <w:div w:id="1889996848">
      <w:bodyDiv w:val="1"/>
      <w:marLeft w:val="0"/>
      <w:marRight w:val="0"/>
      <w:marTop w:val="0"/>
      <w:marBottom w:val="0"/>
      <w:divBdr>
        <w:top w:val="none" w:sz="0" w:space="0" w:color="auto"/>
        <w:left w:val="none" w:sz="0" w:space="0" w:color="auto"/>
        <w:bottom w:val="none" w:sz="0" w:space="0" w:color="auto"/>
        <w:right w:val="none" w:sz="0" w:space="0" w:color="auto"/>
      </w:divBdr>
    </w:div>
    <w:div w:id="2012676135">
      <w:bodyDiv w:val="1"/>
      <w:marLeft w:val="0"/>
      <w:marRight w:val="0"/>
      <w:marTop w:val="0"/>
      <w:marBottom w:val="0"/>
      <w:divBdr>
        <w:top w:val="none" w:sz="0" w:space="0" w:color="auto"/>
        <w:left w:val="none" w:sz="0" w:space="0" w:color="auto"/>
        <w:bottom w:val="none" w:sz="0" w:space="0" w:color="auto"/>
        <w:right w:val="none" w:sz="0" w:space="0" w:color="auto"/>
      </w:divBdr>
    </w:div>
    <w:div w:id="2060812077">
      <w:bodyDiv w:val="1"/>
      <w:marLeft w:val="0"/>
      <w:marRight w:val="0"/>
      <w:marTop w:val="0"/>
      <w:marBottom w:val="0"/>
      <w:divBdr>
        <w:top w:val="none" w:sz="0" w:space="0" w:color="auto"/>
        <w:left w:val="none" w:sz="0" w:space="0" w:color="auto"/>
        <w:bottom w:val="none" w:sz="0" w:space="0" w:color="auto"/>
        <w:right w:val="none" w:sz="0" w:space="0" w:color="auto"/>
      </w:divBdr>
    </w:div>
    <w:div w:id="2091459044">
      <w:bodyDiv w:val="1"/>
      <w:marLeft w:val="0"/>
      <w:marRight w:val="0"/>
      <w:marTop w:val="0"/>
      <w:marBottom w:val="0"/>
      <w:divBdr>
        <w:top w:val="none" w:sz="0" w:space="0" w:color="auto"/>
        <w:left w:val="none" w:sz="0" w:space="0" w:color="auto"/>
        <w:bottom w:val="none" w:sz="0" w:space="0" w:color="auto"/>
        <w:right w:val="none" w:sz="0" w:space="0" w:color="auto"/>
      </w:divBdr>
    </w:div>
    <w:div w:id="2096592267">
      <w:bodyDiv w:val="1"/>
      <w:marLeft w:val="0"/>
      <w:marRight w:val="0"/>
      <w:marTop w:val="0"/>
      <w:marBottom w:val="0"/>
      <w:divBdr>
        <w:top w:val="none" w:sz="0" w:space="0" w:color="auto"/>
        <w:left w:val="none" w:sz="0" w:space="0" w:color="auto"/>
        <w:bottom w:val="none" w:sz="0" w:space="0" w:color="auto"/>
        <w:right w:val="none" w:sz="0" w:space="0" w:color="auto"/>
      </w:divBdr>
    </w:div>
    <w:div w:id="2112966655">
      <w:bodyDiv w:val="1"/>
      <w:marLeft w:val="0"/>
      <w:marRight w:val="0"/>
      <w:marTop w:val="0"/>
      <w:marBottom w:val="0"/>
      <w:divBdr>
        <w:top w:val="none" w:sz="0" w:space="0" w:color="auto"/>
        <w:left w:val="none" w:sz="0" w:space="0" w:color="auto"/>
        <w:bottom w:val="none" w:sz="0" w:space="0" w:color="auto"/>
        <w:right w:val="none" w:sz="0" w:space="0" w:color="auto"/>
      </w:divBdr>
    </w:div>
    <w:div w:id="212129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2586A-501E-4138-9607-AB896D51F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38</Pages>
  <Words>14899</Words>
  <Characters>84929</Characters>
  <Application>Microsoft Office Word</Application>
  <DocSecurity>0</DocSecurity>
  <Lines>707</Lines>
  <Paragraphs>199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Kocic</dc:creator>
  <cp:lastModifiedBy>Nives Damjanic</cp:lastModifiedBy>
  <cp:revision>23</cp:revision>
  <cp:lastPrinted>2024-06-27T09:23:00Z</cp:lastPrinted>
  <dcterms:created xsi:type="dcterms:W3CDTF">2024-06-19T08:21:00Z</dcterms:created>
  <dcterms:modified xsi:type="dcterms:W3CDTF">2024-07-04T10:00:00Z</dcterms:modified>
</cp:coreProperties>
</file>